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rFonts w:hint="eastAsia" w:ascii="宋体" w:hAnsi="宋体"/>
          <w:b/>
          <w:color w:val="auto"/>
          <w:sz w:val="44"/>
          <w:szCs w:val="44"/>
          <w:highlight w:val="none"/>
        </w:rPr>
      </w:pPr>
      <w:r>
        <w:rPr>
          <w:rFonts w:hint="eastAsia" w:ascii="宋体" w:hAnsi="宋体"/>
          <w:b/>
          <w:color w:val="auto"/>
          <w:sz w:val="44"/>
          <w:szCs w:val="44"/>
          <w:highlight w:val="none"/>
        </w:rPr>
      </w:r>
      <w:r/>
    </w:p>
    <w:p>
      <w:pPr>
        <w:shd w:val="clear" w:color="auto"/>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hd w:val="clear" w:color="auto"/>
        <w:rPr>
          <w:rFonts w:hint="eastAsia" w:ascii="宋体" w:hAnsi="宋体"/>
          <w:b/>
          <w:color w:val="auto"/>
          <w:sz w:val="116"/>
          <w:szCs w:val="72"/>
          <w:highlight w:val="none"/>
        </w:rPr>
      </w:pPr>
      <w:r>
        <w:rPr>
          <w:rFonts w:hint="eastAsia" w:ascii="宋体" w:hAnsi="宋体"/>
          <w:b/>
          <w:color w:val="auto"/>
          <w:sz w:val="116"/>
          <w:szCs w:val="72"/>
          <w:highlight w:val="none"/>
        </w:rPr>
        <w:t xml:space="preserve">竞 争 性 磋 商</w:t>
      </w:r>
      <w:r/>
    </w:p>
    <w:p>
      <w:pPr>
        <w:jc w:val="center"/>
        <w:shd w:val="clear" w:color="auto"/>
        <w:rPr>
          <w:rFonts w:hint="eastAsia" w:ascii="宋体" w:hAnsi="宋体"/>
          <w:b/>
          <w:color w:val="auto"/>
          <w:sz w:val="144"/>
          <w:szCs w:val="72"/>
          <w:highlight w:val="none"/>
        </w:rPr>
      </w:pPr>
      <w:r>
        <w:rPr>
          <w:rFonts w:hint="eastAsia" w:ascii="宋体" w:hAnsi="宋体"/>
          <w:b/>
          <w:color w:val="auto"/>
          <w:sz w:val="116"/>
          <w:szCs w:val="72"/>
          <w:highlight w:val="none"/>
        </w:rPr>
        <w:t xml:space="preserve">采 购 文 件</w:t>
      </w:r>
      <w:r/>
    </w:p>
    <w:p>
      <w:pPr>
        <w:shd w:val="clear" w:color="auto"/>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1035"/>
        <w:shd w:val="clear" w:color="auto"/>
        <w:rPr>
          <w:rFonts w:hint="eastAsia"/>
          <w:color w:val="auto"/>
          <w:highlight w:val="none"/>
        </w:rPr>
      </w:pPr>
      <w:r>
        <w:rPr>
          <w:rFonts w:hint="eastAsia"/>
          <w:color w:val="auto"/>
          <w:highlight w:val="none"/>
        </w:rPr>
      </w:r>
      <w:r/>
    </w:p>
    <w:p>
      <w:pPr>
        <w:ind w:firstLine="1411"/>
        <w:shd w:val="clear" w:color="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JSZC-320500-SZYX-C2025-0078</w:t>
      </w:r>
      <w:r/>
    </w:p>
    <w:p>
      <w:pPr>
        <w:ind w:firstLine="1411"/>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采购单位：江苏省苏州环境监测中心</w:t>
      </w:r>
      <w:r/>
    </w:p>
    <w:p>
      <w:pPr>
        <w:ind w:firstLine="1411"/>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采购内容：2026年省控地表水自动监测站运维检查技术服务</w:t>
      </w:r>
      <w:r/>
    </w:p>
    <w:p>
      <w:pPr>
        <w:pStyle w:val="1035"/>
        <w:shd w:val="clear" w:color="auto"/>
        <w:rPr>
          <w:rFonts w:hint="eastAsia"/>
          <w:color w:val="auto"/>
          <w:highlight w:val="none"/>
        </w:rPr>
      </w:pPr>
      <w:r>
        <w:rPr>
          <w:rFonts w:hint="eastAsia"/>
          <w:color w:val="auto"/>
          <w:highlight w:val="none"/>
        </w:rPr>
      </w:r>
      <w:r/>
    </w:p>
    <w:p>
      <w:pPr>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hd w:val="clear" w:color="auto"/>
        <w:rPr>
          <w:rFonts w:hint="eastAsia"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hd w:val="clear" w:color="auto"/>
        <w:rPr>
          <w:rFonts w:hint="eastAsia"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shd w:val="clear" w:color="auto"/>
        <w:rPr>
          <w:rFonts w:hint="eastAsia" w:ascii="宋体" w:hAnsi="宋体"/>
          <w:b/>
          <w:color w:val="auto"/>
          <w:sz w:val="32"/>
          <w:szCs w:val="28"/>
          <w:highlight w:val="none"/>
        </w:rPr>
      </w:pPr>
      <w:r>
        <w:rPr>
          <w:rFonts w:hint="eastAsia" w:ascii="宋体" w:hAnsi="宋体"/>
          <w:b/>
          <w:color w:val="auto"/>
          <w:sz w:val="32"/>
          <w:szCs w:val="28"/>
          <w:highlight w:val="none"/>
        </w:rPr>
        <w:t xml:space="preserve">二〇二五年十</w:t>
      </w:r>
      <w:r>
        <w:rPr>
          <w:rFonts w:hint="eastAsia" w:ascii="宋体" w:hAnsi="宋体"/>
          <w:b/>
          <w:color w:val="auto"/>
          <w:sz w:val="32"/>
          <w:szCs w:val="28"/>
          <w:highlight w:val="none"/>
          <w:lang w:val="en-US" w:eastAsia="zh-CN"/>
        </w:rPr>
        <w:t xml:space="preserve">二</w:t>
      </w:r>
      <w:r>
        <w:rPr>
          <w:rFonts w:hint="eastAsia" w:ascii="宋体" w:hAnsi="宋体"/>
          <w:b/>
          <w:color w:val="auto"/>
          <w:sz w:val="32"/>
          <w:szCs w:val="28"/>
          <w:highlight w:val="none"/>
        </w:rPr>
        <w:t xml:space="preserve">月</w:t>
      </w:r>
      <w:r/>
    </w:p>
    <w:p>
      <w:pPr>
        <w:jc w:val="center"/>
        <w:shd w:val="clear" w:color="auto"/>
        <w:rPr>
          <w:b/>
          <w:color w:val="auto"/>
          <w:sz w:val="32"/>
          <w:szCs w:val="32"/>
          <w:highlight w:val="none"/>
        </w:rPr>
      </w:pPr>
      <w:r>
        <w:rPr>
          <w:rFonts w:ascii="宋体" w:hAnsi="宋体"/>
          <w:b/>
          <w:color w:val="auto"/>
          <w:sz w:val="32"/>
          <w:highlight w:val="none"/>
        </w:rPr>
        <w:br w:type="page" w:clear="all"/>
      </w: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79"/>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u w:val="single"/>
              </w:rPr>
              <w:t xml:space="preserve">2026年省控地表水自动监测站运维检查技术服务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2025年</w:t>
            </w:r>
            <w:r>
              <w:rPr>
                <w:rFonts w:hint="eastAsia" w:ascii="宋体" w:hAnsi="宋体" w:cs="宋体"/>
                <w:color w:val="auto"/>
                <w:szCs w:val="21"/>
                <w:highlight w:val="none"/>
                <w:u w:val="single"/>
                <w:lang w:val="en-US" w:eastAsia="zh-CN"/>
              </w:rPr>
              <w:t xml:space="preserve">12</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16</w:t>
            </w:r>
            <w:r>
              <w:rPr>
                <w:rFonts w:hint="eastAsia" w:ascii="宋体" w:hAnsi="宋体" w:cs="宋体"/>
                <w:color w:val="auto"/>
                <w:szCs w:val="21"/>
                <w:highlight w:val="none"/>
                <w:u w:val="single"/>
              </w:rPr>
              <w:t xml:space="preserve">日9：30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项目基本情况</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JSZC-320500-SZYX-C2025-0078</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 xml:space="preserve">2026年省控地表水自动监测站运维检查技术服务</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bookmarkStart w:id="0" w:name="_Hlk165988500"/>
      <w:r>
        <w:rPr>
          <w:rFonts w:hint="eastAsia" w:ascii="宋体" w:hAnsi="宋体" w:cs="宋体"/>
          <w:color w:val="auto"/>
          <w:szCs w:val="21"/>
          <w:highlight w:val="none"/>
        </w:rPr>
        <w:t xml:space="preserve">人民币壹佰捌拾捌万元整（￥1880000.00）</w:t>
      </w:r>
      <w:bookmarkEnd w:id="0"/>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最高</w:t>
      </w:r>
      <w:r>
        <w:rPr>
          <w:rFonts w:hint="eastAsia" w:ascii="宋体" w:hAnsi="宋体" w:cs="宋体"/>
          <w:color w:val="auto"/>
          <w:szCs w:val="21"/>
          <w:highlight w:val="none"/>
        </w:rPr>
        <w:t xml:space="preserve">限价：无</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numPr>
          <w:ilvl w:val="0"/>
          <w:numId w:val="7"/>
        </w:numPr>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ascii="宋体" w:hAnsi="宋体"/>
          <w:color w:val="auto"/>
          <w:szCs w:val="21"/>
          <w:highlight w:val="none"/>
        </w:rPr>
        <w:t xml:space="preserve">根据江苏省生态环境厅</w:t>
      </w:r>
      <w:r>
        <w:rPr>
          <w:rFonts w:hint="eastAsia" w:ascii="宋体" w:hAnsi="宋体"/>
          <w:bCs/>
          <w:color w:val="auto"/>
          <w:szCs w:val="21"/>
          <w:highlight w:val="none"/>
        </w:rPr>
        <w:t xml:space="preserve">【20</w:t>
      </w:r>
      <w:r>
        <w:rPr>
          <w:rFonts w:ascii="宋体" w:hAnsi="宋体"/>
          <w:bCs/>
          <w:color w:val="auto"/>
          <w:szCs w:val="21"/>
          <w:highlight w:val="none"/>
        </w:rPr>
        <w:t xml:space="preserve">2</w:t>
      </w:r>
      <w:r>
        <w:rPr>
          <w:rFonts w:hint="eastAsia" w:ascii="宋体" w:hAnsi="宋体"/>
          <w:bCs/>
          <w:color w:val="auto"/>
          <w:szCs w:val="21"/>
          <w:highlight w:val="none"/>
        </w:rPr>
        <w:t xml:space="preserve">5】62号全省生态环境监测方案</w:t>
      </w:r>
      <w:r>
        <w:rPr>
          <w:rFonts w:hint="eastAsia" w:ascii="宋体" w:hAnsi="宋体"/>
          <w:color w:val="auto"/>
          <w:szCs w:val="21"/>
          <w:highlight w:val="none"/>
        </w:rPr>
        <w:t xml:space="preserve">，</w:t>
      </w:r>
      <w:r>
        <w:rPr>
          <w:rFonts w:ascii="宋体" w:hAnsi="宋体"/>
          <w:color w:val="auto"/>
          <w:szCs w:val="21"/>
          <w:highlight w:val="none"/>
        </w:rPr>
        <w:t xml:space="preserve">省控地表水水质自动监测站（以下简称水站）任务分工要求</w:t>
      </w:r>
      <w:r>
        <w:rPr>
          <w:color w:val="auto"/>
          <w:highlight w:val="none"/>
        </w:rPr>
        <w:t xml:space="preserve">驻市环境监测中心负责</w:t>
      </w:r>
      <w:r>
        <w:rPr>
          <w:rFonts w:hint="eastAsia"/>
          <w:color w:val="auto"/>
          <w:highlight w:val="none"/>
        </w:rPr>
        <w:t xml:space="preserve">质控</w:t>
      </w:r>
      <w:r>
        <w:rPr>
          <w:color w:val="auto"/>
          <w:highlight w:val="none"/>
        </w:rPr>
        <w:t xml:space="preserve">管理</w:t>
      </w:r>
      <w:r>
        <w:rPr>
          <w:rFonts w:ascii="宋体" w:hAnsi="宋体"/>
          <w:color w:val="auto"/>
          <w:szCs w:val="21"/>
          <w:highlight w:val="none"/>
        </w:rPr>
        <w:t xml:space="preserve">。</w:t>
      </w:r>
      <w:r>
        <w:rPr>
          <w:rFonts w:ascii="宋体" w:hAnsi="宋体"/>
          <w:color w:val="auto"/>
          <w:szCs w:val="21"/>
          <w:highlight w:val="none"/>
        </w:rPr>
        <w:t xml:space="preserve">为加强对省控水站的质量管理，提高外部质控检查的</w:t>
      </w:r>
      <w:r>
        <w:rPr>
          <w:rFonts w:hint="eastAsia" w:ascii="宋体" w:hAnsi="宋体"/>
          <w:color w:val="auto"/>
          <w:szCs w:val="21"/>
          <w:highlight w:val="none"/>
        </w:rPr>
        <w:t xml:space="preserve">“数智化”水平</w:t>
      </w:r>
      <w:r>
        <w:rPr>
          <w:rFonts w:ascii="宋体" w:hAnsi="宋体"/>
          <w:color w:val="auto"/>
          <w:szCs w:val="21"/>
          <w:highlight w:val="none"/>
        </w:rPr>
        <w:t xml:space="preserve">，江苏省苏州环境监测中心需采购省控地表水自动监测站运维检查技术服务。主要工作内容包括</w:t>
      </w:r>
      <w:r>
        <w:rPr>
          <w:rFonts w:hint="eastAsia" w:ascii="宋体" w:hAnsi="宋体"/>
          <w:color w:val="auto"/>
          <w:szCs w:val="21"/>
          <w:highlight w:val="none"/>
        </w:rPr>
        <w:t xml:space="preserve">47</w:t>
      </w:r>
      <w:r>
        <w:rPr>
          <w:rFonts w:ascii="宋体" w:hAnsi="宋体"/>
          <w:color w:val="auto"/>
          <w:szCs w:val="21"/>
          <w:highlight w:val="none"/>
        </w:rPr>
        <w:t xml:space="preserve">个水站</w:t>
      </w:r>
      <w:r>
        <w:rPr>
          <w:rFonts w:ascii="宋体" w:hAnsi="宋体"/>
          <w:color w:val="auto"/>
          <w:szCs w:val="21"/>
          <w:highlight w:val="none"/>
        </w:rPr>
        <w:t xml:space="preserve">的自动监测运维和质控体系检查、现场五参数比对、盲样考核、加标回收或集成干预检查、手工比对监测、水文监测和监控视频设施抽查，并参与抽测和飞行检查。</w:t>
      </w:r>
      <w:r/>
    </w:p>
    <w:p>
      <w:pPr>
        <w:numPr>
          <w:ilvl w:val="0"/>
          <w:numId w:val="7"/>
        </w:numPr>
        <w:spacing w:line="400" w:lineRule="exact"/>
        <w:shd w:val="clear" w:color="auto"/>
        <w:rPr>
          <w:rFonts w:hint="eastAsia" w:ascii="宋体" w:hAnsi="宋体" w:cs="宋体"/>
          <w:color w:val="auto"/>
          <w:szCs w:val="21"/>
          <w:highlight w:val="none"/>
        </w:rPr>
      </w:pPr>
      <w:r>
        <w:rPr>
          <w:rFonts w:hint="eastAsia" w:ascii="宋体" w:hAnsi="宋体" w:cs="宋体"/>
          <w:color w:val="auto"/>
          <w:highlight w:val="none"/>
        </w:rPr>
        <w:t xml:space="preserve">合同履约期限：</w:t>
      </w:r>
      <w:r>
        <w:rPr>
          <w:rFonts w:hint="eastAsia" w:ascii="宋体" w:hAnsi="宋体" w:cs="宋体"/>
          <w:color w:val="auto"/>
          <w:szCs w:val="21"/>
          <w:highlight w:val="none"/>
        </w:rPr>
        <w:t xml:space="preserve">2026年5月1日至2027年4月30日。</w:t>
      </w:r>
      <w:r/>
    </w:p>
    <w:p>
      <w:pPr>
        <w:numPr>
          <w:ilvl w:val="0"/>
          <w:numId w:val="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不接受联合体投标。</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申请人的资格要求：</w:t>
      </w:r>
      <w:r/>
    </w:p>
    <w:p>
      <w:pPr>
        <w:numPr>
          <w:ilvl w:val="0"/>
          <w:numId w:val="8"/>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w:t>
      </w:r>
      <w:r/>
    </w:p>
    <w:p>
      <w:pPr>
        <w:numPr>
          <w:ilvl w:val="0"/>
          <w:numId w:val="9"/>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p>
    <w:p>
      <w:pPr>
        <w:numPr>
          <w:ilvl w:val="0"/>
          <w:numId w:val="9"/>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p>
    <w:p>
      <w:pPr>
        <w:numPr>
          <w:ilvl w:val="0"/>
          <w:numId w:val="9"/>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p>
    <w:p>
      <w:pPr>
        <w:numPr>
          <w:ilvl w:val="0"/>
          <w:numId w:val="9"/>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w:t>
      </w:r>
      <w:r/>
    </w:p>
    <w:p>
      <w:pPr>
        <w:numPr>
          <w:ilvl w:val="0"/>
          <w:numId w:val="9"/>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参加政府采购活动前三年内，在经营活动中没有出现重大违法记录；</w:t>
      </w:r>
      <w:r/>
    </w:p>
    <w:p>
      <w:pPr>
        <w:numPr>
          <w:ilvl w:val="0"/>
          <w:numId w:val="9"/>
        </w:numPr>
        <w:spacing w:line="400" w:lineRule="exact"/>
        <w:shd w:val="clear" w:color="auto"/>
        <w:rPr>
          <w:rFonts w:hint="eastAsia" w:ascii="宋体" w:hAnsi="宋体" w:cs="宋体"/>
          <w:color w:val="auto"/>
          <w:szCs w:val="21"/>
          <w:highlight w:val="none"/>
        </w:rPr>
      </w:pPr>
      <w:r>
        <w:rPr>
          <w:rFonts w:hint="eastAsia" w:ascii="宋体" w:hAnsi="宋体"/>
          <w:color w:val="auto"/>
          <w:szCs w:val="21"/>
          <w:highlight w:val="none"/>
        </w:rPr>
        <w:t xml:space="preserve">法律、行政法规规</w:t>
      </w:r>
      <w:r>
        <w:rPr>
          <w:rFonts w:hint="eastAsia" w:ascii="宋体" w:hAnsi="宋体" w:cs="宋体"/>
          <w:color w:val="auto"/>
          <w:szCs w:val="21"/>
          <w:highlight w:val="none"/>
        </w:rPr>
        <w:t xml:space="preserve">定的其他条件。</w:t>
      </w:r>
      <w:r/>
    </w:p>
    <w:p>
      <w:pPr>
        <w:numPr>
          <w:ilvl w:val="0"/>
          <w:numId w:val="8"/>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p>
      <w:pPr>
        <w:numPr>
          <w:ilvl w:val="0"/>
          <w:numId w:val="10"/>
        </w:numPr>
        <w:spacing w:line="400" w:lineRule="exact"/>
        <w:shd w:val="clear" w:color="auto"/>
        <w:rPr>
          <w:rFonts w:hint="eastAsia" w:ascii="宋体" w:hAnsi="宋体" w:cs="宋体"/>
          <w:color w:val="auto"/>
          <w:szCs w:val="21"/>
          <w:highlight w:val="none"/>
        </w:rPr>
      </w:pPr>
      <w:r>
        <w:rPr>
          <w:rFonts w:hint="eastAsia" w:ascii="宋体" w:hAnsi="宋体"/>
          <w:color w:val="auto"/>
          <w:szCs w:val="21"/>
          <w:highlight w:val="none"/>
        </w:rPr>
        <w:t xml:space="preserve">本项目专门面向中小微企业采购，本项目属其他未列明行业。</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r/>
    </w:p>
    <w:p>
      <w:pPr>
        <w:numPr>
          <w:ilvl w:val="0"/>
          <w:numId w:val="8"/>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11"/>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非项目所涉的省控地表水自动监测站运维服务供应商及其关联企业且不得在本项目实施期间再行从事本项目所涉运维服务</w:t>
      </w:r>
      <w:r>
        <w:rPr>
          <w:rFonts w:hint="eastAsia" w:ascii="宋体" w:hAnsi="宋体"/>
          <w:color w:val="auto"/>
          <w:szCs w:val="21"/>
          <w:highlight w:val="none"/>
          <w:lang w:eastAsia="zh-CN"/>
        </w:rPr>
        <w:t xml:space="preserve">。</w:t>
      </w:r>
      <w:r/>
    </w:p>
    <w:p>
      <w:pPr>
        <w:numPr>
          <w:ilvl w:val="0"/>
          <w:numId w:val="11"/>
        </w:numPr>
        <w:spacing w:line="400" w:lineRule="exact"/>
        <w:shd w:val="clear" w:color="auto"/>
        <w:rPr>
          <w:rFonts w:hint="eastAsia" w:ascii="宋体" w:hAnsi="宋体"/>
          <w:color w:val="auto"/>
          <w:szCs w:val="21"/>
          <w:highlight w:val="none"/>
        </w:rPr>
      </w:pPr>
      <w:r/>
      <w:bookmarkStart w:id="1" w:name="OLE_LINK1"/>
      <w:r>
        <w:rPr>
          <w:rFonts w:hint="eastAsia" w:ascii="宋体" w:hAnsi="宋体"/>
          <w:color w:val="auto"/>
          <w:szCs w:val="21"/>
          <w:highlight w:val="none"/>
        </w:rPr>
        <w:t xml:space="preserve">供应商近三年内在各级环境自动监测质控技术服务项目中无弄虚作假的行为，未被相关环境管理部门通报。</w:t>
      </w:r>
      <w:bookmarkEnd w:id="1"/>
      <w:r/>
      <w:r/>
    </w:p>
    <w:p>
      <w:pPr>
        <w:numPr>
          <w:ilvl w:val="0"/>
          <w:numId w:val="11"/>
        </w:numPr>
        <w:spacing w:line="400" w:lineRule="exact"/>
        <w:shd w:val="clear" w:color="auto"/>
        <w:rPr>
          <w:rFonts w:hint="eastAsia" w:ascii="宋体" w:hAnsi="宋体"/>
          <w:color w:val="auto"/>
          <w:szCs w:val="21"/>
          <w:highlight w:val="none"/>
        </w:rPr>
      </w:pPr>
      <w:r>
        <w:rPr>
          <w:rFonts w:hint="eastAsia" w:ascii="宋体" w:hAnsi="宋体" w:cs="宋体"/>
          <w:color w:val="auto"/>
          <w:szCs w:val="21"/>
          <w:highlight w:val="none"/>
        </w:rPr>
        <w:t xml:space="preserve">未被列入失信被执行人、重</w:t>
      </w:r>
      <w:r>
        <w:rPr>
          <w:rFonts w:hint="eastAsia" w:ascii="宋体" w:hAnsi="宋体"/>
          <w:color w:val="auto"/>
          <w:szCs w:val="21"/>
          <w:highlight w:val="none"/>
        </w:rPr>
        <w:t xml:space="preserve">大税收违法案件当事人名单、政府采购严重失信行为记录名单</w:t>
      </w:r>
      <w:r>
        <w:rPr>
          <w:rFonts w:hint="eastAsia" w:ascii="宋体" w:hAnsi="宋体"/>
          <w:color w:val="auto"/>
          <w:szCs w:val="21"/>
          <w:highlight w:val="none"/>
          <w:lang w:eastAsia="zh-CN"/>
        </w:rPr>
        <w:t xml:space="preserve">。</w:t>
      </w:r>
      <w:r/>
    </w:p>
    <w:p>
      <w:pPr>
        <w:numPr>
          <w:ilvl w:val="0"/>
          <w:numId w:val="11"/>
        </w:numPr>
        <w:spacing w:line="400" w:lineRule="exact"/>
        <w:shd w:val="clear" w:color="auto"/>
        <w:rPr>
          <w:rFonts w:hint="eastAsia" w:ascii="宋体" w:hAnsi="宋体" w:cs="宋体"/>
          <w:color w:val="auto"/>
          <w:szCs w:val="21"/>
          <w:highlight w:val="none"/>
        </w:rPr>
      </w:pPr>
      <w:r>
        <w:rPr>
          <w:rFonts w:hint="eastAsia" w:ascii="宋体" w:hAnsi="宋体"/>
          <w:color w:val="auto"/>
          <w:szCs w:val="21"/>
          <w:highlight w:val="none"/>
        </w:rPr>
        <w:t xml:space="preserve">单位负责人为同一人或者存在直</w:t>
      </w:r>
      <w:r>
        <w:rPr>
          <w:rFonts w:hint="eastAsia" w:ascii="宋体" w:hAnsi="宋体" w:cs="宋体"/>
          <w:color w:val="auto"/>
          <w:szCs w:val="21"/>
          <w:highlight w:val="none"/>
        </w:rPr>
        <w:t xml:space="preserve">接控股、管理关系的不同供应商（包含法定代表人为同一个人的两个及两个以上法人，母公司、全资子公司及其控股公司），不得参加同一合同项下的政府采购活动。</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获取采购文件</w:t>
      </w:r>
      <w:r/>
    </w:p>
    <w:p>
      <w:pPr>
        <w:numPr>
          <w:ilvl w:val="0"/>
          <w:numId w:val="12"/>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时间：本公告发布之日起五个工作日。</w:t>
      </w:r>
      <w:r/>
    </w:p>
    <w:p>
      <w:pPr>
        <w:numPr>
          <w:ilvl w:val="0"/>
          <w:numId w:val="12"/>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地点：江苏省政府采购一体化平台“苏采云”系统自行下载</w:t>
      </w:r>
      <w:r/>
    </w:p>
    <w:p>
      <w:pPr>
        <w:numPr>
          <w:ilvl w:val="0"/>
          <w:numId w:val="12"/>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方式：登录江苏省政府采购一体化平台“苏采云”系统，确认参与项目后自行下载</w:t>
      </w:r>
      <w:r/>
    </w:p>
    <w:p>
      <w:pPr>
        <w:numPr>
          <w:ilvl w:val="0"/>
          <w:numId w:val="12"/>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售价：免费</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响应文件提交</w:t>
      </w:r>
      <w:r/>
    </w:p>
    <w:p>
      <w:pPr>
        <w:numPr>
          <w:ilvl w:val="0"/>
          <w:numId w:val="13"/>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截止时间：2025年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日9：30</w:t>
      </w:r>
      <w:r/>
    </w:p>
    <w:p>
      <w:pPr>
        <w:numPr>
          <w:ilvl w:val="0"/>
          <w:numId w:val="13"/>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开启</w:t>
      </w:r>
      <w:r/>
    </w:p>
    <w:p>
      <w:pPr>
        <w:numPr>
          <w:ilvl w:val="0"/>
          <w:numId w:val="14"/>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时间：2025年</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日9：30</w:t>
      </w:r>
      <w:r/>
    </w:p>
    <w:p>
      <w:pPr>
        <w:numPr>
          <w:ilvl w:val="0"/>
          <w:numId w:val="14"/>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rPr>
        <w:t xml:space="preserve">苏州市市辖区【狮山科技馆】不见面开标室（虚拟开标室）</w:t>
      </w:r>
      <w:r>
        <w:rPr>
          <w:rFonts w:hint="eastAsia" w:ascii="宋体" w:hAnsi="宋体" w:cs="宋体"/>
          <w:color w:val="auto"/>
          <w:szCs w:val="21"/>
          <w:highlight w:val="none"/>
        </w:rPr>
        <w:t xml:space="preserve">。</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公告期限：自本公告发布之日起3个工作日。</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其他相关事宜：</w:t>
      </w:r>
      <w:r/>
    </w:p>
    <w:p>
      <w:pPr>
        <w:numPr>
          <w:ilvl w:val="0"/>
          <w:numId w:val="15"/>
        </w:numPr>
        <w:jc w:val="left"/>
        <w:spacing w:line="400" w:lineRule="exact"/>
        <w:shd w:val="clear" w:color="auto"/>
        <w:widowControl/>
        <w:rPr>
          <w:rFonts w:hint="eastAsia" w:ascii="宋体" w:hAnsi="宋体" w:cs="宋体"/>
          <w:color w:val="auto"/>
          <w:szCs w:val="21"/>
          <w:highlight w:val="none"/>
        </w:rPr>
      </w:pPr>
      <w:r/>
      <w:bookmarkStart w:id="2" w:name="OLE_LINK16"/>
      <w:r>
        <w:rPr>
          <w:rFonts w:hint="eastAsia" w:ascii="宋体" w:hAnsi="宋体" w:cs="宋体"/>
          <w:color w:val="auto"/>
          <w:szCs w:val="21"/>
          <w:highlight w:val="none"/>
        </w:rPr>
        <w:t xml:space="preserve">CA证书办</w:t>
      </w:r>
      <w:r>
        <w:rPr>
          <w:rFonts w:hint="eastAsia" w:ascii="宋体" w:hAnsi="宋体" w:cs="宋体"/>
          <w:color w:val="auto"/>
          <w:szCs w:val="21"/>
          <w:highlight w:val="none"/>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线上参加开标（开启）会方式：供应商登录“苏采云”系统，点击“开标大厅”，选择对应项目，点击进入不见面开标系统。</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numPr>
          <w:ilvl w:val="0"/>
          <w:numId w:val="1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本公告同时在江苏省政府采购网、苏州市政府采购网上发布</w:t>
      </w:r>
      <w:bookmarkEnd w:id="2"/>
      <w:r>
        <w:rPr>
          <w:rFonts w:hint="eastAsia" w:ascii="宋体" w:hAnsi="宋体" w:cs="宋体"/>
          <w:color w:val="auto"/>
          <w:szCs w:val="21"/>
          <w:highlight w:val="none"/>
        </w:rPr>
        <w:t xml:space="preserve">。</w:t>
      </w:r>
      <w:r/>
    </w:p>
    <w:p>
      <w:pPr>
        <w:numPr>
          <w:ilvl w:val="0"/>
          <w:numId w:val="5"/>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对本次采购提出询问，请按以下方式联系：</w:t>
      </w:r>
      <w:r/>
    </w:p>
    <w:p>
      <w:pPr>
        <w:numPr>
          <w:ilvl w:val="0"/>
          <w:numId w:val="1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采购人信息</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名称：江苏省苏州环境监测中心</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地址：苏州市竹园路8号</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联系方式：0512-68338011</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联系人：李芳</w:t>
      </w:r>
      <w:r/>
    </w:p>
    <w:p>
      <w:pPr>
        <w:numPr>
          <w:ilvl w:val="0"/>
          <w:numId w:val="1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采购代理机构信息</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名称：苏州市原鑫招投标咨询服务有限公司</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地址：苏州市三香路万盛大厦13楼B座</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联系方式：0512-68364647、68361806*8002</w:t>
      </w:r>
      <w:r/>
    </w:p>
    <w:p>
      <w:pPr>
        <w:numPr>
          <w:ilvl w:val="0"/>
          <w:numId w:val="16"/>
        </w:numPr>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项目联系方式</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left="567"/>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shd w:val="clear" w:color="auto"/>
        <w:tabs>
          <w:tab w:val="left" w:pos="426" w:leader="none"/>
          <w:tab w:val="left" w:pos="709" w:leader="none"/>
        </w:tabs>
        <w:rPr>
          <w:rFonts w:hint="eastAsia"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二、磋商采购文件</w:t>
      </w:r>
      <w:r/>
    </w:p>
    <w:p>
      <w:pPr>
        <w:ind w:firstLine="525"/>
        <w:jc w:val="left"/>
        <w:spacing w:line="40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苏州市原鑫招投标咨询服务有限公司受江苏省苏州环境监测中心的委托，就其所需要采购的</w:t>
      </w:r>
      <w:r>
        <w:rPr>
          <w:rFonts w:hint="eastAsia" w:ascii="宋体" w:hAnsi="宋体"/>
          <w:color w:val="auto"/>
          <w:szCs w:val="21"/>
          <w:highlight w:val="none"/>
        </w:rPr>
        <w:t xml:space="preserve">2026年省控地表水自动监测站运维检查技术服务</w:t>
      </w:r>
      <w:r>
        <w:rPr>
          <w:rFonts w:hint="eastAsia" w:ascii="宋体" w:hAnsi="宋体" w:cs="宋体"/>
          <w:color w:val="auto"/>
          <w:szCs w:val="21"/>
          <w:highlight w:val="none"/>
        </w:rPr>
        <w:t xml:space="preserve">在国内组织竞争性磋商采购。欢迎符合采购文件资格条件的供应商前来参加磋商。</w:t>
      </w:r>
      <w:r/>
    </w:p>
    <w:p>
      <w:pPr>
        <w:numPr>
          <w:ilvl w:val="0"/>
          <w:numId w:val="17"/>
        </w:numPr>
        <w:ind w:left="567" w:hanging="567"/>
        <w:spacing w:line="400" w:lineRule="exact"/>
        <w:shd w:val="clear" w:color="auto"/>
        <w:tabs>
          <w:tab w:val="clear" w:pos="420"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采购编号：</w:t>
      </w:r>
      <w:r>
        <w:rPr>
          <w:rFonts w:hint="eastAsia" w:ascii="宋体" w:hAnsi="宋体"/>
          <w:bCs/>
          <w:color w:val="auto"/>
          <w:szCs w:val="21"/>
          <w:highlight w:val="none"/>
          <w:lang w:eastAsia="zh-CN"/>
        </w:rPr>
        <w:t xml:space="preserve">JSZC-320500-SZYX-C2025-0078</w:t>
      </w:r>
      <w:r/>
    </w:p>
    <w:p>
      <w:pPr>
        <w:numPr>
          <w:ilvl w:val="0"/>
          <w:numId w:val="17"/>
        </w:numPr>
        <w:ind w:left="567" w:hanging="567"/>
        <w:spacing w:line="400" w:lineRule="exact"/>
        <w:shd w:val="clear" w:color="auto"/>
        <w:tabs>
          <w:tab w:val="clear" w:pos="420" w:leader="none"/>
          <w:tab w:val="left" w:pos="567" w:leader="none"/>
        </w:tabs>
        <w:rPr>
          <w:rFonts w:hint="eastAsia" w:ascii="宋体" w:hAnsi="宋体"/>
          <w:bCs/>
          <w:color w:val="auto"/>
          <w:szCs w:val="21"/>
          <w:highlight w:val="none"/>
        </w:rPr>
      </w:pPr>
      <w:r>
        <w:rPr>
          <w:rFonts w:hint="eastAsia" w:ascii="宋体" w:hAnsi="宋体"/>
          <w:color w:val="auto"/>
          <w:szCs w:val="21"/>
          <w:highlight w:val="none"/>
        </w:rPr>
        <w:t xml:space="preserve">采购内容：</w:t>
      </w:r>
      <w:r>
        <w:rPr>
          <w:rFonts w:hint="eastAsia" w:ascii="宋体" w:hAnsi="宋体" w:cs="宋体"/>
          <w:color w:val="auto"/>
          <w:szCs w:val="21"/>
          <w:highlight w:val="none"/>
        </w:rPr>
        <w:t xml:space="preserve">2026年省控地表水自动监测站运维检查技术服务</w:t>
      </w:r>
      <w:r/>
    </w:p>
    <w:p>
      <w:pPr>
        <w:numPr>
          <w:ilvl w:val="0"/>
          <w:numId w:val="17"/>
        </w:numPr>
        <w:ind w:left="567" w:hanging="567"/>
        <w:spacing w:line="400" w:lineRule="exact"/>
        <w:shd w:val="clear" w:color="auto"/>
        <w:tabs>
          <w:tab w:val="clear" w:pos="42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采购需求：</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bookmarkStart w:id="3" w:name="_Toc449476276"/>
      <w:r/>
      <w:bookmarkStart w:id="4" w:name="_Toc489445811"/>
      <w:r/>
      <w:bookmarkStart w:id="5" w:name="_Toc528170090"/>
      <w:r>
        <w:rPr>
          <w:rFonts w:hint="eastAsia" w:ascii="宋体" w:hAnsi="宋体" w:cs="Arial"/>
          <w:color w:val="auto"/>
          <w:szCs w:val="21"/>
          <w:highlight w:val="none"/>
        </w:rPr>
        <w:t xml:space="preserve">项目概况</w:t>
      </w:r>
      <w:bookmarkEnd w:id="3"/>
      <w:r/>
      <w:bookmarkEnd w:id="4"/>
      <w:r/>
      <w:bookmarkEnd w:id="5"/>
      <w:r/>
      <w:r/>
    </w:p>
    <w:p>
      <w:pPr>
        <w:pStyle w:val="1269"/>
        <w:contextualSpacing/>
        <w:ind w:firstLine="567"/>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根据江苏省生态环境厅苏环办</w:t>
      </w:r>
      <w:r>
        <w:rPr>
          <w:rFonts w:hint="eastAsia" w:ascii="宋体" w:hAnsi="宋体"/>
          <w:bCs/>
          <w:color w:val="auto"/>
          <w:szCs w:val="21"/>
          <w:highlight w:val="none"/>
        </w:rPr>
        <w:t xml:space="preserve">【20</w:t>
      </w:r>
      <w:r>
        <w:rPr>
          <w:rFonts w:ascii="宋体" w:hAnsi="宋体"/>
          <w:bCs/>
          <w:color w:val="auto"/>
          <w:szCs w:val="21"/>
          <w:highlight w:val="none"/>
        </w:rPr>
        <w:t xml:space="preserve">2</w:t>
      </w:r>
      <w:r>
        <w:rPr>
          <w:rFonts w:hint="eastAsia" w:ascii="宋体" w:hAnsi="宋体"/>
          <w:bCs/>
          <w:color w:val="auto"/>
          <w:szCs w:val="21"/>
          <w:highlight w:val="none"/>
        </w:rPr>
        <w:t xml:space="preserve">5】62号全省生态环境监测方案</w:t>
      </w:r>
      <w:r>
        <w:rPr>
          <w:rFonts w:hint="eastAsia" w:ascii="宋体" w:hAnsi="宋体"/>
          <w:bCs/>
          <w:color w:val="auto"/>
          <w:szCs w:val="21"/>
          <w:highlight w:val="none"/>
        </w:rPr>
        <w:t xml:space="preserve">，其中省控地表水水质自动监测站（以下简称水站）任务分工要求，行政区内省控水站由江苏省苏州环境监测中心负责质控管理。</w:t>
      </w:r>
      <w:r/>
    </w:p>
    <w:p>
      <w:pPr>
        <w:pStyle w:val="1269"/>
        <w:contextualSpacing/>
        <w:ind w:firstLine="567"/>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为加强对省控水站的质量管理，提高外部质控检查的时效性，江苏省苏州环境监测中心将</w:t>
      </w:r>
      <w:r>
        <w:rPr>
          <w:rFonts w:hint="eastAsia" w:ascii="宋体" w:hAnsi="宋体"/>
          <w:bCs/>
          <w:color w:val="auto"/>
          <w:szCs w:val="21"/>
          <w:highlight w:val="none"/>
        </w:rPr>
        <w:t xml:space="preserve">47个</w:t>
      </w:r>
      <w:r>
        <w:rPr>
          <w:rFonts w:hint="eastAsia" w:ascii="宋体" w:hAnsi="宋体"/>
          <w:bCs/>
          <w:color w:val="auto"/>
          <w:szCs w:val="21"/>
          <w:highlight w:val="none"/>
        </w:rPr>
        <w:t xml:space="preserve">水质自动监测站</w:t>
      </w:r>
      <w:r>
        <w:rPr>
          <w:rFonts w:hint="eastAsia" w:ascii="宋体" w:hAnsi="宋体"/>
          <w:bCs/>
          <w:color w:val="auto"/>
          <w:szCs w:val="21"/>
          <w:highlight w:val="none"/>
        </w:rPr>
        <w:t xml:space="preserve">2026年度</w:t>
      </w:r>
      <w:r>
        <w:rPr>
          <w:rFonts w:hint="eastAsia" w:ascii="宋体" w:hAnsi="宋体"/>
          <w:bCs/>
          <w:color w:val="auto"/>
          <w:szCs w:val="21"/>
          <w:highlight w:val="none"/>
        </w:rPr>
        <w:t xml:space="preserve">（12个月）的质控检查任务，通过竞争性磋商</w:t>
      </w:r>
      <w:r>
        <w:rPr>
          <w:rFonts w:ascii="宋体" w:hAnsi="宋体"/>
          <w:bCs/>
          <w:color w:val="auto"/>
          <w:szCs w:val="21"/>
          <w:highlight w:val="none"/>
        </w:rPr>
        <w:t xml:space="preserve">方式采购服务。</w:t>
      </w:r>
      <w:r/>
    </w:p>
    <w:p>
      <w:pPr>
        <w:pStyle w:val="1269"/>
        <w:contextualSpacing/>
        <w:ind w:firstLine="567"/>
        <w:spacing w:line="400" w:lineRule="exact"/>
        <w:shd w:val="clear" w:color="auto"/>
        <w:rPr>
          <w:rFonts w:hint="eastAsia" w:ascii="宋体" w:hAnsi="宋体"/>
          <w:bCs/>
          <w:color w:val="auto"/>
          <w:szCs w:val="21"/>
          <w:highlight w:val="none"/>
        </w:rPr>
      </w:pPr>
      <w:r/>
      <w:bookmarkStart w:id="6" w:name="_Hlk49171919"/>
      <w:r/>
      <w:bookmarkStart w:id="7" w:name="_Hlk49524155"/>
      <w:r>
        <w:rPr>
          <w:rFonts w:hint="eastAsia" w:ascii="宋体" w:hAnsi="宋体"/>
          <w:bCs/>
          <w:color w:val="auto"/>
          <w:szCs w:val="21"/>
          <w:highlight w:val="none"/>
        </w:rPr>
        <w:t xml:space="preserve">省控水站点位根据省厅优化监测点位和站点改造的需要，可能会作相应调整，</w:t>
      </w:r>
      <w:bookmarkEnd w:id="6"/>
      <w:r>
        <w:rPr>
          <w:rFonts w:hint="eastAsia" w:ascii="宋体" w:hAnsi="宋体"/>
          <w:bCs/>
          <w:color w:val="auto"/>
          <w:szCs w:val="21"/>
          <w:highlight w:val="none"/>
        </w:rPr>
        <w:t xml:space="preserve">经费结算详见（七）考核方法与付费原则</w:t>
      </w:r>
      <w:r>
        <w:rPr>
          <w:rFonts w:ascii="宋体" w:hAnsi="宋体"/>
          <w:bCs/>
          <w:color w:val="auto"/>
          <w:szCs w:val="21"/>
          <w:highlight w:val="none"/>
        </w:rPr>
        <w:t xml:space="preserve">。</w:t>
      </w:r>
      <w:bookmarkEnd w:id="7"/>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rPr>
          <w:rFonts w:ascii="宋体" w:hAnsi="宋体" w:cs="Arial"/>
          <w:color w:val="auto"/>
          <w:szCs w:val="21"/>
          <w:highlight w:val="none"/>
        </w:rPr>
        <w:t xml:space="preserve">采购</w:t>
      </w:r>
      <w:r>
        <w:rPr>
          <w:rFonts w:hint="eastAsia" w:ascii="宋体" w:hAnsi="宋体" w:cs="Arial"/>
          <w:color w:val="auto"/>
          <w:szCs w:val="21"/>
          <w:highlight w:val="none"/>
        </w:rPr>
        <w:t xml:space="preserve">具体需求</w:t>
      </w:r>
      <w:r/>
    </w:p>
    <w:p>
      <w:pPr>
        <w:contextualSpacing/>
        <w:ind w:firstLine="567"/>
        <w:jc w:val="left"/>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47个水站</w:t>
      </w:r>
      <w:r>
        <w:rPr>
          <w:rFonts w:ascii="宋体" w:hAnsi="宋体" w:cs="Arial"/>
          <w:color w:val="auto"/>
          <w:szCs w:val="21"/>
          <w:highlight w:val="none"/>
        </w:rPr>
        <w:t xml:space="preserve">详细</w:t>
      </w:r>
      <w:r>
        <w:rPr>
          <w:rFonts w:hint="eastAsia" w:ascii="宋体" w:hAnsi="宋体" w:cs="Arial"/>
          <w:color w:val="auto"/>
          <w:szCs w:val="21"/>
          <w:highlight w:val="none"/>
        </w:rPr>
        <w:t xml:space="preserve">所在断面</w:t>
      </w:r>
      <w:r>
        <w:rPr>
          <w:rFonts w:ascii="宋体" w:hAnsi="宋体" w:cs="Arial"/>
          <w:color w:val="auto"/>
          <w:szCs w:val="21"/>
          <w:highlight w:val="none"/>
        </w:rPr>
        <w:t xml:space="preserve">（点位）信息见</w:t>
      </w:r>
      <w:r>
        <w:rPr>
          <w:rFonts w:hint="eastAsia" w:ascii="宋体" w:hAnsi="宋体" w:cs="Arial"/>
          <w:color w:val="auto"/>
          <w:szCs w:val="21"/>
          <w:highlight w:val="none"/>
        </w:rPr>
        <w:t xml:space="preserve">表</w:t>
      </w:r>
      <w:r>
        <w:rPr>
          <w:rFonts w:ascii="宋体" w:hAnsi="宋体" w:cs="Arial"/>
          <w:color w:val="auto"/>
          <w:szCs w:val="21"/>
          <w:highlight w:val="none"/>
        </w:rPr>
        <w:t xml:space="preserve">1。</w:t>
      </w:r>
      <w:r/>
    </w:p>
    <w:p>
      <w:pPr>
        <w:jc w:val="center"/>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表1 省控水站信息一览表</w:t>
      </w:r>
      <w:r/>
    </w:p>
    <w:tbl>
      <w:tblPr>
        <w:tblStyle w:val="979"/>
        <w:tblW w:w="97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897"/>
        <w:gridCol w:w="2940"/>
        <w:gridCol w:w="1515"/>
        <w:gridCol w:w="1327"/>
        <w:gridCol w:w="1365"/>
      </w:tblGrid>
      <w:tr>
        <w:trPr>
          <w:jc w:val="center"/>
          <w:trHeight w:val="57"/>
          <w:tblHeader/>
        </w:trPr>
        <w:tc>
          <w:tcPr>
            <w:tcW w:w="685"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897"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河流名称</w:t>
            </w:r>
            <w:r/>
          </w:p>
        </w:tc>
        <w:tc>
          <w:tcPr>
            <w:tcW w:w="2940"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站点名称</w:t>
            </w:r>
            <w:r/>
          </w:p>
        </w:tc>
        <w:tc>
          <w:tcPr>
            <w:tcW w:w="1515"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站点</w:t>
            </w:r>
            <w:r/>
          </w:p>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类型</w:t>
            </w:r>
            <w:r/>
          </w:p>
        </w:tc>
        <w:tc>
          <w:tcPr>
            <w:tcW w:w="1327"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所在地区</w:t>
            </w:r>
            <w:r/>
          </w:p>
        </w:tc>
        <w:tc>
          <w:tcPr>
            <w:tcW w:w="1365" w:type="dxa"/>
            <w:vAlign w:val="center"/>
            <w:textDirection w:val="lrTb"/>
            <w:noWrap w:val="false"/>
          </w:tcPr>
          <w:p>
            <w:pPr>
              <w:jc w:val="center"/>
              <w:shd w:val="clear" w:color="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站点数/个</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长三港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石帆港口</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restart"/>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高新区</w:t>
            </w:r>
            <w:r/>
          </w:p>
        </w:tc>
        <w:tc>
          <w:tcPr>
            <w:tcW w:w="1365" w:type="dxa"/>
            <w:vAlign w:val="center"/>
            <w:vMerge w:val="restart"/>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金墅港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太湖桥*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元和塘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北桥大桥#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相城区</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望虞河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鹅真塘*</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京杭运河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太平桥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吴江区</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清溪河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新太平桥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頔塘河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浔溪大桥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澜溪塘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水泥厂</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大德塘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湖店</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太浦河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庙港</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京杭运河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瓜泾口北*</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三船路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三船路套闸（吴江二水厂）</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京杭运河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平望新运河大桥#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急水港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急水港大桥#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吴中区</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吴淞江</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江里庄*</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娄江</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朱家村*</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工业园区</w:t>
            </w:r>
            <w:r/>
          </w:p>
        </w:tc>
        <w:tc>
          <w:tcPr>
            <w:tcW w:w="136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道褐浦</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新开泾桥*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昆山市</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娄江</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正仪铁路桥#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巴城湖口#</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杨林塘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青阳北路桥*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盐铁塘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庙前村*</w:t>
            </w:r>
            <w:r/>
          </w:p>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（新丰桥镇）</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浏河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振东渡口*</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23</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长江</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浏河#</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太仓市</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24</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七浦塘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荡茜河桥#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25</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杨林塘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仪桥#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26</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老七浦塘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七浦水闸（滨江大道桥）*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凤凰</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28</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顾家桥*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二干河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十一圩闸</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张家港市</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张家港闸#</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东横河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六渡桥*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张家港河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大义光明村*</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羊尖塘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羊尖大桥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常熟市</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望虞河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张桥*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望虞河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江边闸#</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36</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锡北运河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官塘*</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37</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白茆塘</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江枫桥#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38</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锡北运河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白宕桥#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39</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昆承湖</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昆承湖心*</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40</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浒光运河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虎山桥#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吴中区</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41</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苏东河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渡水桥*</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lef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42</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太湖</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湖心观测站</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43</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太湖</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西山</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简易站</w:t>
            </w:r>
            <w:r/>
          </w:p>
        </w:tc>
        <w:tc>
          <w:tcPr>
            <w:tcW w:w="132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吴中区</w:t>
            </w:r>
            <w:r/>
          </w:p>
        </w:tc>
        <w:tc>
          <w:tcPr>
            <w:tcW w:w="136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44</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木光河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善人桥*</w:t>
            </w:r>
            <w:r>
              <w:rPr>
                <w:rFonts w:hint="eastAsia" w:ascii="宋体" w:hAnsi="宋体" w:cs="宋体"/>
                <w:bCs/>
                <w:color w:val="auto"/>
                <w:szCs w:val="21"/>
                <w:highlight w:val="none"/>
              </w:rPr>
              <w:t xml:space="preserve">√</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浮船站</w:t>
            </w:r>
            <w:r/>
          </w:p>
        </w:tc>
        <w:tc>
          <w:tcPr>
            <w:tcW w:w="132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吴中区</w:t>
            </w:r>
            <w:r/>
          </w:p>
        </w:tc>
        <w:tc>
          <w:tcPr>
            <w:tcW w:w="136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45</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阳澄湖</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阳澄东湖南*</w:t>
            </w:r>
            <w:r>
              <w:rPr>
                <w:rFonts w:hint="eastAsia" w:ascii="宋体" w:hAnsi="宋体" w:cs="宋体"/>
                <w:bCs/>
                <w:color w:val="auto"/>
                <w:szCs w:val="21"/>
                <w:highlight w:val="none"/>
              </w:rPr>
              <w:t xml:space="preserve">√</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浮船站</w:t>
            </w:r>
            <w:r/>
          </w:p>
        </w:tc>
        <w:tc>
          <w:tcPr>
            <w:tcW w:w="132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工业园区</w:t>
            </w:r>
            <w:r/>
          </w:p>
        </w:tc>
        <w:tc>
          <w:tcPr>
            <w:tcW w:w="136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46</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太浦河</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太浦河桥*</w:t>
            </w:r>
            <w:r>
              <w:rPr>
                <w:rFonts w:hint="eastAsia" w:ascii="宋体" w:hAnsi="宋体" w:cs="宋体"/>
                <w:bCs/>
                <w:color w:val="auto"/>
                <w:szCs w:val="21"/>
                <w:highlight w:val="none"/>
              </w:rPr>
              <w:t xml:space="preserve">√</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吴中区</w:t>
            </w:r>
            <w:r/>
          </w:p>
        </w:tc>
        <w:tc>
          <w:tcPr>
            <w:tcW w:w="1365" w:type="dxa"/>
            <w:vAlign w:val="center"/>
            <w:vMerge w:val="restart"/>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57"/>
        </w:trPr>
        <w:tc>
          <w:tcPr>
            <w:tcW w:w="68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47</w:t>
            </w:r>
            <w:r/>
          </w:p>
        </w:tc>
        <w:tc>
          <w:tcPr>
            <w:tcW w:w="1897"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元荡</w:t>
            </w:r>
            <w:r/>
          </w:p>
        </w:tc>
        <w:tc>
          <w:tcPr>
            <w:tcW w:w="2940"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元荡湖心（元荡湖口）</w:t>
            </w:r>
            <w:r>
              <w:rPr>
                <w:rFonts w:hint="eastAsia" w:ascii="宋体" w:hAnsi="宋体" w:cs="宋体"/>
                <w:bCs/>
                <w:color w:val="auto"/>
                <w:szCs w:val="21"/>
                <w:highlight w:val="none"/>
              </w:rPr>
              <w:t xml:space="preserve">√</w:t>
            </w:r>
            <w:r/>
          </w:p>
        </w:tc>
        <w:tc>
          <w:tcPr>
            <w:tcW w:w="151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固定站</w:t>
            </w:r>
            <w:r/>
          </w:p>
        </w:tc>
        <w:tc>
          <w:tcPr>
            <w:tcW w:w="1327"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vMerge w:val="continue"/>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7"/>
        </w:trPr>
        <w:tc>
          <w:tcPr>
            <w:gridSpan w:val="5"/>
            <w:tcW w:w="8364"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W w:w="1365" w:type="dxa"/>
            <w:vAlign w:val="center"/>
            <w:textDirection w:val="lrTb"/>
            <w:noWrap w:val="false"/>
          </w:tcPr>
          <w:p>
            <w:pPr>
              <w:jc w:val="center"/>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47</w:t>
            </w:r>
            <w:r/>
          </w:p>
        </w:tc>
      </w:tr>
    </w:tbl>
    <w:p>
      <w:pPr>
        <w:spacing w:before="156" w:after="100" w:afterAutospacing="1"/>
        <w:shd w:val="clear" w:color="auto"/>
        <w:rPr>
          <w:rFonts w:hint="eastAsia" w:ascii="宋体" w:hAnsi="宋体"/>
          <w:b/>
          <w:color w:val="auto"/>
          <w:szCs w:val="21"/>
          <w:highlight w:val="none"/>
        </w:rPr>
      </w:pPr>
      <w:r>
        <w:rPr>
          <w:rFonts w:hint="eastAsia" w:ascii="宋体" w:hAnsi="宋体"/>
          <w:b/>
          <w:color w:val="auto"/>
          <w:szCs w:val="21"/>
          <w:highlight w:val="none"/>
        </w:rPr>
        <w:t xml:space="preserve">注：打</w:t>
      </w:r>
      <w:r>
        <w:rPr>
          <w:rFonts w:ascii="宋体" w:hAnsi="宋体"/>
          <w:b/>
          <w:color w:val="auto"/>
          <w:szCs w:val="21"/>
          <w:highlight w:val="none"/>
        </w:rPr>
        <w:t xml:space="preserve">*为省考断面水站</w:t>
      </w:r>
      <w:r>
        <w:rPr>
          <w:rFonts w:hint="eastAsia" w:ascii="宋体" w:hAnsi="宋体"/>
          <w:b/>
          <w:color w:val="auto"/>
          <w:szCs w:val="21"/>
          <w:highlight w:val="none"/>
        </w:rPr>
        <w:t xml:space="preserve">，打#为国考断面省级水站，打</w:t>
      </w:r>
      <w:r>
        <w:rPr>
          <w:rFonts w:hint="eastAsia" w:ascii="微软雅黑" w:hAnsi="微软雅黑" w:eastAsia="微软雅黑"/>
          <w:b/>
          <w:color w:val="auto"/>
          <w:szCs w:val="21"/>
          <w:highlight w:val="none"/>
        </w:rPr>
        <w:t xml:space="preserve">√</w:t>
      </w:r>
      <w:r>
        <w:rPr>
          <w:rFonts w:hint="eastAsia" w:ascii="宋体" w:hAnsi="宋体"/>
          <w:b/>
          <w:color w:val="auto"/>
          <w:szCs w:val="21"/>
          <w:highlight w:val="none"/>
        </w:rPr>
        <w:t xml:space="preserve">为省级水环境自动监测站网数据购买服务项目水站</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rPr>
          <w:rFonts w:ascii="宋体" w:hAnsi="宋体" w:cs="Arial"/>
          <w:color w:val="auto"/>
          <w:szCs w:val="21"/>
          <w:highlight w:val="none"/>
        </w:rPr>
        <w:t xml:space="preserve">采购内容</w:t>
      </w:r>
      <w:r/>
    </w:p>
    <w:p>
      <w:pPr>
        <w:contextualSpacing/>
        <w:ind w:firstLine="567"/>
        <w:spacing w:line="400" w:lineRule="exact"/>
        <w:shd w:val="clear" w:color="auto"/>
        <w:rPr>
          <w:rFonts w:hint="eastAsia" w:ascii="宋体" w:hAnsi="宋体" w:cs="Arial"/>
          <w:color w:val="auto"/>
          <w:szCs w:val="21"/>
          <w:highlight w:val="none"/>
        </w:rPr>
      </w:pPr>
      <w:r>
        <w:rPr>
          <w:rFonts w:ascii="宋体" w:hAnsi="宋体" w:cs="Arial"/>
          <w:color w:val="auto"/>
          <w:szCs w:val="21"/>
          <w:highlight w:val="none"/>
        </w:rPr>
        <w:t xml:space="preserve">此次</w:t>
      </w:r>
      <w:bookmarkStart w:id="8" w:name="_Toc409705757"/>
      <w:r>
        <w:rPr>
          <w:rFonts w:hint="eastAsia" w:ascii="宋体" w:hAnsi="宋体" w:cs="Arial"/>
          <w:color w:val="auto"/>
          <w:szCs w:val="21"/>
          <w:highlight w:val="none"/>
        </w:rPr>
        <w:t xml:space="preserve">采购成交后供应商须</w:t>
      </w:r>
      <w:r>
        <w:rPr>
          <w:rFonts w:ascii="宋体" w:hAnsi="宋体" w:cs="Arial"/>
          <w:color w:val="auto"/>
          <w:szCs w:val="21"/>
          <w:highlight w:val="none"/>
        </w:rPr>
        <w:t xml:space="preserve">负责上述</w:t>
      </w:r>
      <w:r>
        <w:rPr>
          <w:rFonts w:hint="eastAsia" w:ascii="宋体" w:hAnsi="宋体" w:cs="Arial"/>
          <w:color w:val="auto"/>
          <w:szCs w:val="21"/>
          <w:highlight w:val="none"/>
        </w:rPr>
        <w:t xml:space="preserve">47</w:t>
      </w:r>
      <w:r>
        <w:rPr>
          <w:rFonts w:ascii="宋体" w:hAnsi="宋体" w:cs="Arial"/>
          <w:color w:val="auto"/>
          <w:szCs w:val="21"/>
          <w:highlight w:val="none"/>
        </w:rPr>
        <w:t xml:space="preserve">个</w:t>
      </w:r>
      <w:r>
        <w:rPr>
          <w:rFonts w:hint="eastAsia" w:ascii="宋体" w:hAnsi="宋体" w:cs="Arial"/>
          <w:color w:val="auto"/>
          <w:szCs w:val="21"/>
          <w:highlight w:val="none"/>
        </w:rPr>
        <w:t xml:space="preserve">水站</w:t>
      </w:r>
      <w:r>
        <w:rPr>
          <w:rFonts w:ascii="宋体" w:hAnsi="宋体" w:cs="Arial"/>
          <w:color w:val="auto"/>
          <w:szCs w:val="21"/>
          <w:highlight w:val="none"/>
        </w:rPr>
        <w:t xml:space="preserve">的</w:t>
      </w:r>
      <w:r>
        <w:rPr>
          <w:rFonts w:hint="eastAsia" w:ascii="宋体" w:hAnsi="宋体" w:cs="Arial"/>
          <w:color w:val="auto"/>
          <w:szCs w:val="21"/>
          <w:highlight w:val="none"/>
        </w:rPr>
        <w:t xml:space="preserve">自动监测运维和质控体系检查、现场五参数比对、盲样考核、加标回收考核、</w:t>
      </w:r>
      <w:bookmarkStart w:id="9" w:name="_Hlk49524384"/>
      <w:r>
        <w:rPr>
          <w:rFonts w:hint="eastAsia" w:ascii="宋体" w:hAnsi="宋体" w:cs="Arial"/>
          <w:color w:val="auto"/>
          <w:szCs w:val="21"/>
          <w:highlight w:val="none"/>
        </w:rPr>
        <w:t xml:space="preserve">集成干预检查</w:t>
      </w:r>
      <w:bookmarkEnd w:id="9"/>
      <w:r>
        <w:rPr>
          <w:rFonts w:hint="eastAsia" w:ascii="宋体" w:hAnsi="宋体" w:cs="Arial"/>
          <w:color w:val="auto"/>
          <w:szCs w:val="21"/>
          <w:highlight w:val="none"/>
        </w:rPr>
        <w:t xml:space="preserve">、手工比对监测、水文监测和监控视频设施抽查，并参与抽测和飞行检查。</w:t>
      </w:r>
      <w:r/>
    </w:p>
    <w:p>
      <w:pPr>
        <w:ind w:firstLine="420"/>
        <w:spacing w:line="400" w:lineRule="exact"/>
        <w:shd w:val="clear" w:color="auto"/>
        <w:rPr>
          <w:rFonts w:hint="eastAsia" w:ascii="宋体" w:hAnsi="宋体" w:cs="Arial"/>
          <w:color w:val="auto"/>
          <w:szCs w:val="21"/>
          <w:highlight w:val="none"/>
        </w:rPr>
      </w:pPr>
      <w:r>
        <w:rPr>
          <w:rFonts w:hint="eastAsia"/>
          <w:color w:val="auto"/>
          <w:highlight w:val="none"/>
        </w:rPr>
        <w:t xml:space="preserve">每月</w:t>
      </w:r>
      <w:r>
        <w:rPr>
          <w:rFonts w:hint="eastAsia" w:ascii="Times New Roman" w:hAnsi="Times New Roman"/>
          <w:color w:val="auto"/>
          <w:highlight w:val="none"/>
        </w:rPr>
        <w:t xml:space="preserve">至少</w:t>
      </w:r>
      <w:r>
        <w:rPr>
          <w:rFonts w:hint="eastAsia"/>
          <w:color w:val="auto"/>
          <w:highlight w:val="none"/>
        </w:rPr>
        <w:t xml:space="preserve">1次对相关</w:t>
      </w:r>
      <w:r>
        <w:rPr>
          <w:rFonts w:hint="eastAsia" w:ascii="宋体" w:hAnsi="宋体" w:cs="Arial"/>
          <w:color w:val="auto"/>
          <w:szCs w:val="21"/>
          <w:highlight w:val="none"/>
        </w:rPr>
        <w:t xml:space="preserve">国省控断面和重点湖泊水站周边开展异常情况巡查，巡查范围要求河流型水站应覆盖站点采水口上下游1公里范围，检查内容包括站点周边有无人工喷泉、曝气等增氧装置，有无投放生物、化学药剂行为，有无干扰采水口正常采样行为等。并及时编制报告报甲方。</w:t>
      </w:r>
      <w:r/>
    </w:p>
    <w:p>
      <w:pPr>
        <w:ind w:firstLine="42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完成采购人交办的溯源工作，包括但不限于溯源方案编写，现场勘察，溯源点位水样采集，每月至少2次。</w:t>
      </w:r>
      <w:r/>
    </w:p>
    <w:p>
      <w:pPr>
        <w:numPr>
          <w:ilvl w:val="0"/>
          <w:numId w:val="19"/>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检查</w:t>
      </w:r>
      <w:r>
        <w:rPr>
          <w:rFonts w:ascii="宋体" w:hAnsi="宋体" w:cs="Arial"/>
          <w:color w:val="auto"/>
          <w:szCs w:val="21"/>
          <w:highlight w:val="none"/>
        </w:rPr>
        <w:t xml:space="preserve">任务</w:t>
      </w:r>
      <w:r>
        <w:rPr>
          <w:rFonts w:hint="eastAsia" w:ascii="宋体" w:hAnsi="宋体" w:cs="Arial"/>
          <w:color w:val="auto"/>
          <w:szCs w:val="21"/>
          <w:highlight w:val="none"/>
        </w:rPr>
        <w:t xml:space="preserve">具体</w:t>
      </w:r>
      <w:r>
        <w:rPr>
          <w:rFonts w:ascii="宋体" w:hAnsi="宋体" w:cs="Arial"/>
          <w:color w:val="auto"/>
          <w:szCs w:val="21"/>
          <w:highlight w:val="none"/>
        </w:rPr>
        <w:t xml:space="preserve">包括</w:t>
      </w:r>
      <w:r>
        <w:rPr>
          <w:rFonts w:hint="eastAsia" w:ascii="宋体" w:hAnsi="宋体" w:cs="Arial"/>
          <w:color w:val="auto"/>
          <w:szCs w:val="21"/>
          <w:highlight w:val="none"/>
        </w:rPr>
        <w:t xml:space="preserve">：</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按照采购人制定的检查计划，每月至少一次开展</w:t>
      </w:r>
      <w:r>
        <w:rPr>
          <w:rFonts w:hint="eastAsia" w:ascii="宋体" w:hAnsi="宋体" w:cs="Arial"/>
          <w:color w:val="auto"/>
          <w:szCs w:val="21"/>
          <w:highlight w:val="none"/>
        </w:rPr>
        <w:t xml:space="preserve">47个水站</w:t>
      </w:r>
      <w:r>
        <w:rPr>
          <w:rFonts w:hint="eastAsia" w:ascii="宋体" w:hAnsi="宋体" w:cs="Arial"/>
          <w:color w:val="auto"/>
          <w:szCs w:val="21"/>
          <w:highlight w:val="none"/>
        </w:rPr>
        <w:t xml:space="preserve">的运维和质控体系检查，并根据一次运维体系检查结果，对检查得分低的站点开展二次质控检查；配合省中心或采购人开展专项检查；根据采购人的要求，针对数据质量存疑的水站，随时开展计划外的质控检查。</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每月携带便携式仪器对各水站常规五参数（水温、pH、溶解氧、电导率和浊度）进行现场比对, 对溶解氧开展集成干预检查；有叶绿素、蓝绿藻监测项目的站点</w:t>
      </w:r>
      <w:r>
        <w:rPr>
          <w:rFonts w:ascii="宋体" w:hAnsi="宋体" w:cs="Arial"/>
          <w:color w:val="auto"/>
          <w:szCs w:val="21"/>
          <w:highlight w:val="none"/>
        </w:rPr>
        <w:t xml:space="preserve">3</w:t>
      </w:r>
      <w:r>
        <w:rPr>
          <w:rFonts w:hint="eastAsia" w:ascii="宋体" w:hAnsi="宋体" w:cs="Arial"/>
          <w:color w:val="auto"/>
          <w:szCs w:val="21"/>
          <w:highlight w:val="none"/>
        </w:rPr>
        <w:t xml:space="preserve">月～10月对叶绿素、蓝绿藻开展仪器比对。</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每月开展所有水站的盲样考核，每2月开展一次高锰酸盐指数、氨氮、总磷、总氮加标回收检查或集成干预检查，每季度开展一次流量计检查。</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每月对已具备视频监控系统的水站查看站房内外的监控视频。</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每月开展所有水站手工比对监测，负责比对点位的样品采集，并按相关技术规范要求在规定时间内运输至实验室，实验室在水样质保期内进行手工分析。</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根据采购人的要求，参与相关水体的现场采样等水质异常调查工作。</w:t>
      </w:r>
      <w:r/>
    </w:p>
    <w:p>
      <w:pPr>
        <w:numPr>
          <w:ilvl w:val="0"/>
          <w:numId w:val="20"/>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参与其他质控检查工作。</w:t>
      </w:r>
      <w:r/>
    </w:p>
    <w:p>
      <w:pPr>
        <w:numPr>
          <w:ilvl w:val="0"/>
          <w:numId w:val="19"/>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检查方式</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检查涉及的监测项目</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水温、pH、溶解氧、电导率、浊度、高锰酸盐指数、氨氮、总磷、总氮、部分站点增加叶绿素a、蓝绿藻和流速流量，其中需开展现场比对的项目为水温、pH、溶解氧、电导率和浊度。（每年</w:t>
      </w:r>
      <w:r>
        <w:rPr>
          <w:rFonts w:ascii="宋体" w:hAnsi="宋体" w:cs="Arial"/>
          <w:color w:val="auto"/>
          <w:szCs w:val="21"/>
          <w:highlight w:val="none"/>
        </w:rPr>
        <w:t xml:space="preserve">3</w:t>
      </w:r>
      <w:r>
        <w:rPr>
          <w:rFonts w:hint="eastAsia" w:ascii="宋体" w:hAnsi="宋体" w:cs="Arial"/>
          <w:color w:val="auto"/>
          <w:szCs w:val="21"/>
          <w:highlight w:val="none"/>
        </w:rPr>
        <w:t xml:space="preserve">月～10月增加叶绿素和蓝绿藻）。</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运维和质控体系检查</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每月由成交供应商开展水站运维和质控体系检查。根据采购人制定的检查计划，成交供应商制定检查方案，赴点位开展检查，按要求反馈检查结果，并每月形成检查总结报告。检查包括对地表水水质自动监测日常运维工作的开展情况、自动站质控体系运行情况和水站周边环境进行检查巡查，包括人员持证、站房环境、仪器状态、巡检情况、养护维修情况、质控措施、文件制定等。</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现场比对</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每月由成交供应商开展水站的现场比对。成交供应商检查人员携带便携式仪器对常规五参数（水温、pH、溶解氧、电导率和浊度）进行现场比对，部分站点</w:t>
      </w:r>
      <w:r>
        <w:rPr>
          <w:rFonts w:ascii="宋体" w:hAnsi="宋体" w:cs="Arial"/>
          <w:color w:val="auto"/>
          <w:szCs w:val="21"/>
          <w:highlight w:val="none"/>
        </w:rPr>
        <w:t xml:space="preserve">3</w:t>
      </w:r>
      <w:r>
        <w:rPr>
          <w:rFonts w:hint="eastAsia" w:ascii="宋体" w:hAnsi="宋体" w:cs="Arial"/>
          <w:color w:val="auto"/>
          <w:szCs w:val="21"/>
          <w:highlight w:val="none"/>
        </w:rPr>
        <w:t xml:space="preserve">月～10月对叶绿素、蓝绿藻开展仪器比对。按要求进行记录，并对比对结果进行统计分析，每月形成比对报告。</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盲样考核和加标回收（集成干预）检查</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每月由成交供应商开展水站的盲样考核，考核参数为氨氮、高锰酸盐指数、总磷和总氮。成交供应商检查人员根据被考核水站所监控断面最近两个月的监测结果，选择浓度接近的有证标准物质，现场配制后交运维人员由仪器采水口进样测定。检查人员按要求记录结果，并对结果进行统计分析，每月形成报告。</w:t>
      </w:r>
      <w:r/>
    </w:p>
    <w:p>
      <w:pPr>
        <w:ind w:firstLine="567"/>
        <w:spacing w:line="400" w:lineRule="exact"/>
        <w:shd w:val="clear" w:color="auto"/>
        <w:rPr>
          <w:rFonts w:hint="eastAsia" w:ascii="宋体" w:hAnsi="宋体" w:cs="Arial"/>
          <w:color w:val="auto"/>
          <w:szCs w:val="21"/>
          <w:highlight w:val="none"/>
        </w:rPr>
      </w:pPr>
      <w:r>
        <w:rPr>
          <w:rFonts w:hint="eastAsia" w:ascii="宋体" w:hAnsi="宋体"/>
          <w:color w:val="auto"/>
          <w:szCs w:val="21"/>
          <w:highlight w:val="none"/>
        </w:rPr>
        <w:t xml:space="preserve">每两个月</w:t>
      </w:r>
      <w:r>
        <w:rPr>
          <w:rFonts w:hint="eastAsia" w:ascii="宋体" w:hAnsi="宋体" w:cs="Arial"/>
          <w:color w:val="auto"/>
          <w:szCs w:val="21"/>
          <w:highlight w:val="none"/>
        </w:rPr>
        <w:t xml:space="preserve">由成交供应商开展水站</w:t>
      </w:r>
      <w:r>
        <w:rPr>
          <w:rFonts w:hint="eastAsia" w:ascii="宋体" w:hAnsi="宋体"/>
          <w:color w:val="auto"/>
          <w:szCs w:val="21"/>
          <w:highlight w:val="none"/>
        </w:rPr>
        <w:t xml:space="preserve">的加标回收或</w:t>
      </w:r>
      <w:bookmarkStart w:id="10" w:name="_Hlk49169586"/>
      <w:r>
        <w:rPr>
          <w:rFonts w:hint="eastAsia" w:ascii="宋体" w:hAnsi="宋体" w:cs="Arial"/>
          <w:color w:val="auto"/>
          <w:szCs w:val="21"/>
          <w:highlight w:val="none"/>
        </w:rPr>
        <w:t xml:space="preserve">集成干预检查，</w:t>
      </w:r>
      <w:bookmarkEnd w:id="10"/>
      <w:r>
        <w:rPr>
          <w:rFonts w:hint="eastAsia" w:ascii="宋体" w:hAnsi="宋体" w:cs="Arial"/>
          <w:color w:val="auto"/>
          <w:szCs w:val="21"/>
          <w:highlight w:val="none"/>
        </w:rPr>
        <w:t xml:space="preserve">检</w:t>
      </w:r>
      <w:r>
        <w:rPr>
          <w:rFonts w:hint="eastAsia" w:ascii="宋体" w:hAnsi="宋体"/>
          <w:color w:val="auto"/>
          <w:szCs w:val="21"/>
          <w:highlight w:val="none"/>
        </w:rPr>
        <w:t xml:space="preserve">查参数为氨氮、高锰酸盐指数、总磷和总氮。</w:t>
      </w:r>
      <w:r>
        <w:rPr>
          <w:rFonts w:hint="eastAsia" w:ascii="宋体" w:hAnsi="宋体" w:cs="Arial"/>
          <w:color w:val="auto"/>
          <w:szCs w:val="21"/>
          <w:highlight w:val="none"/>
        </w:rPr>
        <w:t xml:space="preserve">成交供应商检查人员根据被考核水站所监控断面最近两个月的监测结果，选择适当的有证标准物质，</w:t>
      </w:r>
      <w:r>
        <w:rPr>
          <w:rFonts w:hint="eastAsia" w:ascii="宋体" w:hAnsi="宋体"/>
          <w:color w:val="auto"/>
          <w:szCs w:val="21"/>
          <w:highlight w:val="none"/>
        </w:rPr>
        <w:t xml:space="preserve">以水样为本底加标准溶液，</w:t>
      </w:r>
      <w:r>
        <w:rPr>
          <w:rFonts w:hint="eastAsia" w:ascii="宋体" w:hAnsi="宋体" w:cs="Arial"/>
          <w:color w:val="auto"/>
          <w:szCs w:val="21"/>
          <w:highlight w:val="none"/>
        </w:rPr>
        <w:t xml:space="preserve">现场配制后交运维人员由仪器进样口进样测定。按技术规范要求开展集成干预检查，其中溶解氧项目集成干预检查要求每月一次。</w:t>
      </w:r>
      <w:r>
        <w:rPr>
          <w:rFonts w:hint="eastAsia" w:ascii="宋体" w:hAnsi="宋体"/>
          <w:color w:val="auto"/>
          <w:szCs w:val="21"/>
          <w:highlight w:val="none"/>
        </w:rPr>
        <w:t xml:space="preserve">检查人员按要求记录结果，并对结果进行统计分析，形成月度报告。</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视频监控检查</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由成交供应商开展视频监控检查，每月查看已具备视频监控系统的水站站房内外的监控视频，检查是否存在非法进入站房和人为干扰自动仪器及站房周围环境的行为，</w:t>
      </w:r>
      <w:r>
        <w:rPr>
          <w:rFonts w:hint="eastAsia" w:ascii="宋体" w:hAnsi="宋体"/>
          <w:color w:val="auto"/>
          <w:szCs w:val="21"/>
          <w:highlight w:val="none"/>
        </w:rPr>
        <w:t xml:space="preserve">形成月度报告。</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实验室比对</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开展自动监测点位的手工比对，并统计比对结果，形成月度比对报告。实验室手工比对项目为氨氮、高锰酸盐指数、总磷和总氮。检查人员负责比对点位的样品采集，并按相关技术规范要求在规定时间内运输至实验室分析。</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水文项目检查</w:t>
      </w:r>
      <w:r/>
    </w:p>
    <w:p>
      <w:pPr>
        <w:ind w:left="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按季度检查流速流量仪器维护记录，现场核查安装位置并比对流向，核查率定报告。</w:t>
      </w:r>
      <w:r/>
    </w:p>
    <w:p>
      <w:pPr>
        <w:numPr>
          <w:ilvl w:val="2"/>
          <w:numId w:val="21"/>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参与飞行检查</w:t>
      </w:r>
      <w:r/>
    </w:p>
    <w:p>
      <w:pPr>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由采购人根据每月例行运维检查、现场比对、盲样考核、视频检查和手工比对结果，结合各点位水质异常波动情况，不定期开展飞行检查。并针对投诉、举报等各种渠道反馈的有人为干扰嫌疑的点位开展飞行检查。成交供应商参与飞行检查，负责相应的技术支持和后勤保障等工作。</w:t>
      </w:r>
      <w:r/>
    </w:p>
    <w:p>
      <w:pPr>
        <w:numPr>
          <w:ilvl w:val="0"/>
          <w:numId w:val="19"/>
        </w:numPr>
        <w:ind w:left="567" w:hanging="567"/>
        <w:spacing w:line="400" w:lineRule="exact"/>
        <w:shd w:val="clear" w:color="auto"/>
        <w:tabs>
          <w:tab w:val="left" w:pos="567" w:leader="none"/>
        </w:tabs>
        <w:rPr>
          <w:rFonts w:hint="eastAsia" w:ascii="宋体" w:hAnsi="宋体" w:cs="Arial"/>
          <w:color w:val="auto"/>
          <w:szCs w:val="21"/>
          <w:highlight w:val="none"/>
        </w:rPr>
      </w:pPr>
      <w:r/>
      <w:bookmarkStart w:id="11" w:name="_Hlk49525552"/>
      <w:r>
        <w:rPr>
          <w:rFonts w:hint="eastAsia" w:ascii="宋体" w:hAnsi="宋体" w:cs="Arial"/>
          <w:color w:val="auto"/>
          <w:szCs w:val="21"/>
          <w:highlight w:val="none"/>
        </w:rPr>
        <w:t xml:space="preserve">相关记录、报告报送要求</w:t>
      </w:r>
      <w:bookmarkEnd w:id="11"/>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现场检查情况、现场监测项目比对测试情况、盲样考核情况总结形成日报，检查后2日内上传至质控平台。</w:t>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每月根据计划和配合采购人重点检查内容，赴现场开展检查，需按照采购人的统一表格进行记录，并将检查记录当日</w:t>
      </w:r>
      <w:bookmarkStart w:id="12" w:name="_Hlk49525751"/>
      <w:r>
        <w:rPr>
          <w:rFonts w:hint="eastAsia" w:ascii="宋体" w:hAnsi="宋体" w:cs="Arial"/>
          <w:color w:val="auto"/>
          <w:szCs w:val="21"/>
          <w:highlight w:val="none"/>
        </w:rPr>
        <w:t xml:space="preserve">上传至质控平台。</w:t>
      </w:r>
      <w:bookmarkEnd w:id="12"/>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每月形成质控检查问题清单并上传至质控平台，及时与运维单位对接，并跟进整改进度，将问题整改情况上传至质控平台，形成工作闭环。</w:t>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每月形成月总结（纸质和电子件），于每月的10日前上传至质控平台。视频监控检查情况、站点及上下游巡查情况、手工比对样品采集和运输情况及比对结果也需纳入日报和月总结。</w:t>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bookmarkStart w:id="13" w:name="_Toc448216026"/>
      <w:r/>
      <w:bookmarkStart w:id="14" w:name="_Toc528170092"/>
      <w:r/>
      <w:bookmarkStart w:id="15" w:name="_Toc489445813"/>
      <w:r/>
      <w:bookmarkStart w:id="16" w:name="_Toc449476278"/>
      <w:r>
        <w:rPr>
          <w:rFonts w:hint="eastAsia" w:ascii="宋体" w:hAnsi="宋体" w:cs="Arial"/>
          <w:color w:val="auto"/>
          <w:szCs w:val="21"/>
          <w:highlight w:val="none"/>
        </w:rPr>
        <w:t xml:space="preserve">专项检查、飞行检查等计划外检查按照采购人要求报送。</w:t>
      </w:r>
      <w:r/>
    </w:p>
    <w:p>
      <w:pPr>
        <w:numPr>
          <w:ilvl w:val="2"/>
          <w:numId w:val="22"/>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质控检查活动的质量管理记录、监测技术记录，包括检查过程中的影像资料，制成电子光盘，与相关报告一并报送给采购人。</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技术要求</w:t>
      </w:r>
      <w:bookmarkEnd w:id="8"/>
      <w:r/>
      <w:bookmarkEnd w:id="13"/>
      <w:r/>
      <w:bookmarkEnd w:id="14"/>
      <w:r/>
      <w:bookmarkEnd w:id="15"/>
      <w:r/>
      <w:bookmarkEnd w:id="16"/>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所有检查任务应严格按照《地表水水质自动监测站运行维护技术规范》（试行）（HJ 915-2017）和《江苏省地表水自动监测站运行管理办法》相关技术要求，以及省控地表水自动监测站运维招标文件相关质控要求。</w:t>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响应单位成交后15日内，向采购人提交《附加体系文件》，通过采购人审核后，进行信息备案，《附加体系文件》包含（但不限于）以下条款：</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cs="Arial"/>
          <w:color w:val="auto"/>
          <w:szCs w:val="21"/>
          <w:highlight w:val="none"/>
        </w:rPr>
        <w:t xml:space="preserve">法</w:t>
      </w:r>
      <w:r>
        <w:rPr>
          <w:rFonts w:hint="eastAsia" w:ascii="宋体" w:hAnsi="宋体" w:cs="Arial"/>
          <w:color w:val="auto"/>
          <w:szCs w:val="21"/>
          <w:highlight w:val="none"/>
        </w:rPr>
        <w:t xml:space="preserve">律地位证明文件；</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组织结构示意图；</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内部组织结构设置和职责；</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质量管理体系要素要求的岗位职能分配表；</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参加本项目人员一览表，包括入职时间、专业、学历；</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与本项目相关的监测能力表；</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与本项目相关的主要仪器设备一览表；</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本项目关键岗位人员任命文件；</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本项目授权签字人签字领域及签名识别；</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对按照《地表水环境质量标准》（GB 3838-2002）的推荐方法或地表水相关的环境保护方法标准测定，按检查涉及的项目所列项目的能力确认材料；</w:t>
      </w:r>
      <w:r/>
    </w:p>
    <w:p>
      <w:pPr>
        <w:numPr>
          <w:ilvl w:val="2"/>
          <w:numId w:val="24"/>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必要的技术性和管理性支持</w:t>
      </w:r>
      <w:r>
        <w:rPr>
          <w:rFonts w:ascii="宋体" w:hAnsi="宋体" w:cs="Arial"/>
          <w:color w:val="auto"/>
          <w:szCs w:val="21"/>
          <w:highlight w:val="none"/>
        </w:rPr>
        <w:t xml:space="preserve">文件(如：技术规程或规定和制度等)。</w:t>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成交后15日内，需根据实际情况编写详细可行的质控检查任务实施方案和应急预案。实施方案编写内容包括：现场检查的人员配备、车辆配备、仪器配备、仪器的检定/校准和维护、盲样的采购和发放、内部质量管理方案和现场质控方案，应急预案内容包括：现场监测质控检查过程中，由于车辆出现故障或事故、遭遇恶劣天气等原因无法按时保质完成任务的有效预防和补救措施。采购人发现实施方案和应急预案不完善时，将及时反馈，成交供应商必须予以完善，通过采购人审核后才能实施。</w:t>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响应单位按检查涉及的项目现场监测项目需求采购现场监测仪器，现场监测仪器须满足环境保护相关技术规范要求，经过检定/校准，并在有效期内开展比对工作。</w:t>
      </w:r>
      <w:r/>
    </w:p>
    <w:p>
      <w:pPr>
        <w:ind w:left="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响应单位需提供现场监测仪器配置清单，包含型号、测定范围、检出限、准确度和精密度。如非响应单位自有或已购，须提供合作周期不少于本项目服务周期的合同或合作意向书复印件加盖响应单位公章，已购须提供采购合同复印件加盖响应单位公章。</w:t>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每个</w:t>
      </w:r>
      <w:r>
        <w:rPr>
          <w:rFonts w:ascii="宋体" w:hAnsi="宋体" w:cs="Arial"/>
          <w:color w:val="auto"/>
          <w:szCs w:val="21"/>
          <w:highlight w:val="none"/>
        </w:rPr>
        <w:t xml:space="preserve">水质自动站</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至少</w:t>
      </w:r>
      <w:r>
        <w:rPr>
          <w:rFonts w:hint="eastAsia" w:ascii="宋体" w:hAnsi="宋体" w:cs="Arial"/>
          <w:color w:val="auto"/>
          <w:szCs w:val="21"/>
          <w:highlight w:val="none"/>
        </w:rPr>
        <w:t xml:space="preserve">2名人员</w:t>
      </w:r>
      <w:r>
        <w:rPr>
          <w:rFonts w:ascii="宋体" w:hAnsi="宋体" w:cs="Arial"/>
          <w:color w:val="auto"/>
          <w:szCs w:val="21"/>
          <w:highlight w:val="none"/>
        </w:rPr>
        <w:t xml:space="preserve">参加。</w:t>
      </w:r>
      <w:r/>
    </w:p>
    <w:p>
      <w:pPr>
        <w:numPr>
          <w:ilvl w:val="0"/>
          <w:numId w:val="23"/>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质控检查人员必须通过移动终端软件对水质自动站/点位现场的检查情况进行记录，并使用记录仪对质控检查过程进行视频拍摄留存记录。</w:t>
      </w:r>
      <w:r/>
    </w:p>
    <w:p>
      <w:pPr>
        <w:numPr>
          <w:ilvl w:val="0"/>
          <w:numId w:val="2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Arial"/>
          <w:color w:val="auto"/>
          <w:szCs w:val="21"/>
          <w:highlight w:val="none"/>
        </w:rPr>
        <w:t xml:space="preserve">质控检查人员质控检查时发现自动站</w:t>
      </w:r>
      <w:r>
        <w:rPr>
          <w:rFonts w:hint="eastAsia" w:ascii="宋体" w:hAnsi="宋体" w:cs="宋体"/>
          <w:color w:val="auto"/>
          <w:szCs w:val="21"/>
          <w:highlight w:val="none"/>
        </w:rPr>
        <w:t xml:space="preserve">周边环境不符合监测要求、采样系统未正常工作或仪器设备异常，应如实记录，并立即向采购人报告。</w:t>
      </w:r>
      <w:r/>
    </w:p>
    <w:p>
      <w:pPr>
        <w:numPr>
          <w:ilvl w:val="0"/>
          <w:numId w:val="2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质控检查人员要对现场检查时发现的问题及时、如实记录，以现场检查时所见为准，不应在运维机构临时纠正后随意修改检查结果。检查完成后须检查人员和被检查人员共同签字确认。</w:t>
      </w:r>
      <w:r/>
    </w:p>
    <w:p>
      <w:pPr>
        <w:numPr>
          <w:ilvl w:val="0"/>
          <w:numId w:val="23"/>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响应单位必须出具承诺函，承诺成交后1个月内，配齐现场监测仪器、冷藏箱、冷藏车及符合要求的标准试剂，能够按照质控检查任务技术要求完成质控检查任务。</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bookmarkStart w:id="17" w:name="_Toc528170093"/>
      <w:r/>
      <w:bookmarkStart w:id="18" w:name="_Toc448216028"/>
      <w:r/>
      <w:bookmarkStart w:id="19" w:name="_Toc489445815"/>
      <w:r/>
      <w:bookmarkStart w:id="20" w:name="_Toc449476280"/>
      <w:r>
        <w:rPr>
          <w:rFonts w:hint="eastAsia" w:ascii="宋体" w:hAnsi="宋体" w:cs="Arial"/>
          <w:color w:val="auto"/>
          <w:szCs w:val="21"/>
          <w:highlight w:val="none"/>
        </w:rPr>
        <w:t xml:space="preserve">对响应单位要求</w:t>
      </w:r>
      <w:bookmarkEnd w:id="17"/>
      <w:r/>
      <w:bookmarkEnd w:id="18"/>
      <w:r/>
      <w:bookmarkEnd w:id="19"/>
      <w:r/>
      <w:bookmarkEnd w:id="20"/>
      <w:r/>
      <w:r/>
    </w:p>
    <w:p>
      <w:pPr>
        <w:contextualSpacing/>
        <w:ind w:firstLine="567"/>
        <w:spacing w:line="400" w:lineRule="exact"/>
        <w:shd w:val="clear" w:color="auto"/>
        <w:tabs>
          <w:tab w:val="left" w:pos="2280" w:leader="none"/>
        </w:tabs>
        <w:rPr>
          <w:rFonts w:hint="eastAsia" w:ascii="宋体" w:hAnsi="宋体"/>
          <w:b/>
          <w:iCs/>
          <w:color w:val="auto"/>
          <w:szCs w:val="21"/>
          <w:highlight w:val="none"/>
        </w:rPr>
      </w:pPr>
      <w:r>
        <w:rPr>
          <w:rFonts w:ascii="宋体" w:hAnsi="宋体"/>
          <w:b/>
          <w:iCs/>
          <w:color w:val="auto"/>
          <w:szCs w:val="21"/>
          <w:highlight w:val="none"/>
        </w:rPr>
        <w:t xml:space="preserve">凡标有“▲”的内容均被视为重要的技术要求。</w:t>
      </w:r>
      <w:r>
        <w:rPr>
          <w:rFonts w:hint="eastAsia" w:ascii="宋体" w:hAnsi="宋体"/>
          <w:b/>
          <w:iCs/>
          <w:color w:val="auto"/>
          <w:szCs w:val="21"/>
          <w:highlight w:val="none"/>
        </w:rPr>
        <w:t xml:space="preserve">响应单位</w:t>
      </w:r>
      <w:r>
        <w:rPr>
          <w:rFonts w:ascii="宋体" w:hAnsi="宋体"/>
          <w:b/>
          <w:iCs/>
          <w:color w:val="auto"/>
          <w:szCs w:val="21"/>
          <w:highlight w:val="none"/>
        </w:rPr>
        <w:t xml:space="preserve">要特别加以注意，必须在</w:t>
      </w:r>
      <w:r>
        <w:rPr>
          <w:rFonts w:hint="eastAsia" w:ascii="宋体" w:hAnsi="宋体"/>
          <w:b/>
          <w:iCs/>
          <w:color w:val="auto"/>
          <w:szCs w:val="21"/>
          <w:highlight w:val="none"/>
        </w:rPr>
        <w:t xml:space="preserve">响应</w:t>
      </w:r>
      <w:r>
        <w:rPr>
          <w:rFonts w:ascii="宋体" w:hAnsi="宋体"/>
          <w:b/>
          <w:iCs/>
          <w:color w:val="auto"/>
          <w:szCs w:val="21"/>
          <w:highlight w:val="none"/>
        </w:rPr>
        <w:t xml:space="preserve">文件中有相应承诺</w:t>
      </w:r>
      <w:r>
        <w:rPr>
          <w:rFonts w:hint="eastAsia" w:ascii="宋体" w:hAnsi="宋体"/>
          <w:b/>
          <w:iCs/>
          <w:color w:val="auto"/>
          <w:szCs w:val="21"/>
          <w:highlight w:val="none"/>
        </w:rPr>
        <w:t xml:space="preserve">，</w:t>
      </w:r>
      <w:r>
        <w:rPr>
          <w:rFonts w:ascii="宋体" w:hAnsi="宋体"/>
          <w:b/>
          <w:iCs/>
          <w:color w:val="auto"/>
          <w:szCs w:val="21"/>
          <w:highlight w:val="none"/>
        </w:rPr>
        <w:t xml:space="preserve">否则视为非实质性响应。</w:t>
      </w:r>
      <w:r/>
    </w:p>
    <w:p>
      <w:pPr>
        <w:numPr>
          <w:ilvl w:val="0"/>
          <w:numId w:val="25"/>
        </w:numPr>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iCs/>
          <w:color w:val="auto"/>
          <w:szCs w:val="21"/>
          <w:highlight w:val="none"/>
        </w:rPr>
        <w:t xml:space="preserve">▲</w:t>
      </w:r>
      <w:r>
        <w:rPr>
          <w:rFonts w:hint="eastAsia" w:ascii="宋体" w:hAnsi="宋体" w:cs="Arial"/>
          <w:color w:val="auto"/>
          <w:szCs w:val="21"/>
          <w:highlight w:val="none"/>
        </w:rPr>
        <w:t xml:space="preserve">项目实施要求</w:t>
      </w:r>
      <w:r/>
    </w:p>
    <w:p>
      <w:pPr>
        <w:contextualSpacing/>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按照采购内容和要</w:t>
      </w:r>
      <w:r>
        <w:rPr>
          <w:rFonts w:hint="eastAsia" w:ascii="宋体" w:hAnsi="宋体" w:cs="Arial"/>
          <w:color w:val="auto"/>
          <w:szCs w:val="21"/>
          <w:highlight w:val="none"/>
        </w:rPr>
        <w:t xml:space="preserve">求，编制</w:t>
      </w:r>
      <w:r>
        <w:rPr>
          <w:rFonts w:ascii="宋体" w:hAnsi="宋体" w:cs="Arial"/>
          <w:color w:val="auto"/>
          <w:szCs w:val="21"/>
          <w:highlight w:val="none"/>
        </w:rPr>
        <w:t xml:space="preserve">详细的</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任务实施方案（</w:t>
      </w:r>
      <w:r>
        <w:rPr>
          <w:rFonts w:hint="eastAsia" w:ascii="宋体" w:hAnsi="宋体" w:cs="Arial"/>
          <w:color w:val="auto"/>
          <w:szCs w:val="21"/>
          <w:highlight w:val="none"/>
        </w:rPr>
        <w:t xml:space="preserve">必须</w:t>
      </w:r>
      <w:r>
        <w:rPr>
          <w:rFonts w:ascii="宋体" w:hAnsi="宋体" w:cs="Arial"/>
          <w:color w:val="auto"/>
          <w:szCs w:val="21"/>
          <w:highlight w:val="none"/>
        </w:rPr>
        <w:t xml:space="preserve">包含</w:t>
      </w:r>
      <w:r>
        <w:rPr>
          <w:rFonts w:hint="eastAsia" w:ascii="宋体" w:hAnsi="宋体" w:cs="宋体"/>
          <w:color w:val="auto"/>
          <w:szCs w:val="21"/>
          <w:highlight w:val="none"/>
        </w:rPr>
        <w:t xml:space="preserve">项目组织和实施方案、资源配置方案、人员配置方案、质量控制实施方案、质控实验室保障方案、异常处置实施方案、应急响应实施方案、信息化管理实施方案等）</w:t>
      </w:r>
      <w:r>
        <w:rPr>
          <w:rFonts w:ascii="宋体" w:hAnsi="宋体" w:cs="Arial"/>
          <w:color w:val="auto"/>
          <w:szCs w:val="21"/>
          <w:highlight w:val="none"/>
        </w:rPr>
        <w:t xml:space="preserve">。</w:t>
      </w:r>
      <w:r/>
    </w:p>
    <w:p>
      <w:pPr>
        <w:numPr>
          <w:ilvl w:val="0"/>
          <w:numId w:val="25"/>
        </w:numPr>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项目</w:t>
      </w:r>
      <w:r>
        <w:rPr>
          <w:rFonts w:hint="eastAsia" w:ascii="宋体" w:hAnsi="宋体"/>
          <w:iCs/>
          <w:color w:val="auto"/>
          <w:szCs w:val="21"/>
          <w:highlight w:val="none"/>
        </w:rPr>
        <w:t xml:space="preserve">保障</w:t>
      </w:r>
      <w:r>
        <w:rPr>
          <w:rFonts w:ascii="宋体" w:hAnsi="宋体" w:cs="Arial"/>
          <w:color w:val="auto"/>
          <w:szCs w:val="21"/>
          <w:highlight w:val="none"/>
        </w:rPr>
        <w:t xml:space="preserve">要求</w:t>
      </w:r>
      <w:r/>
    </w:p>
    <w:p>
      <w:pPr>
        <w:numPr>
          <w:ilvl w:val="0"/>
          <w:numId w:val="26"/>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资金保证充足，具有独立财务账户或财务独立核算。</w:t>
      </w:r>
      <w:r/>
    </w:p>
    <w:p>
      <w:pPr>
        <w:numPr>
          <w:ilvl w:val="0"/>
          <w:numId w:val="26"/>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应具有独立完成</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任务的资源和能力，具有明确的法律地位，能够对</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结果的真实性和准确性负责。</w:t>
      </w:r>
      <w:r/>
    </w:p>
    <w:p>
      <w:pPr>
        <w:numPr>
          <w:ilvl w:val="0"/>
          <w:numId w:val="26"/>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hint="eastAsia" w:ascii="宋体" w:hAnsi="宋体" w:cs="Arial"/>
          <w:color w:val="auto"/>
          <w:szCs w:val="21"/>
          <w:highlight w:val="none"/>
        </w:rPr>
        <w:t xml:space="preserve">本项目要求的现场监测项目，均需获得检验检测机构资质认定即CMA认定，所需要的仪器设备需经过计量检定。</w:t>
      </w:r>
      <w:r/>
    </w:p>
    <w:p>
      <w:pPr>
        <w:numPr>
          <w:ilvl w:val="0"/>
          <w:numId w:val="26"/>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ascii="宋体" w:hAnsi="宋体" w:cs="Arial"/>
          <w:color w:val="auto"/>
          <w:szCs w:val="21"/>
          <w:highlight w:val="none"/>
        </w:rPr>
        <w:t xml:space="preserve">在委托期内，在合同约束范围内</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拥有管理自主权</w:t>
      </w:r>
      <w:r>
        <w:rPr>
          <w:rFonts w:hint="eastAsia" w:ascii="宋体" w:hAnsi="宋体" w:cs="Arial"/>
          <w:color w:val="auto"/>
          <w:szCs w:val="21"/>
          <w:highlight w:val="none"/>
        </w:rPr>
        <w:t xml:space="preserve">，但</w:t>
      </w:r>
      <w:r>
        <w:rPr>
          <w:rFonts w:ascii="宋体" w:hAnsi="宋体" w:cs="Arial"/>
          <w:color w:val="auto"/>
          <w:szCs w:val="21"/>
          <w:highlight w:val="none"/>
        </w:rPr>
        <w:t xml:space="preserve">不能以任何形式外包合同规定的</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任务。</w:t>
      </w:r>
      <w:r>
        <w:rPr>
          <w:rFonts w:hint="eastAsia" w:ascii="宋体" w:hAnsi="宋体" w:cs="Arial"/>
          <w:color w:val="auto"/>
          <w:szCs w:val="21"/>
          <w:highlight w:val="none"/>
        </w:rPr>
        <w:t xml:space="preserve">响应单位须出具承诺函。</w:t>
      </w:r>
      <w:r/>
    </w:p>
    <w:p>
      <w:pPr>
        <w:numPr>
          <w:ilvl w:val="0"/>
          <w:numId w:val="26"/>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需具备本地化</w:t>
      </w:r>
      <w:r>
        <w:rPr>
          <w:rFonts w:hint="eastAsia" w:ascii="宋体" w:hAnsi="宋体" w:cs="Arial"/>
          <w:color w:val="auto"/>
          <w:szCs w:val="21"/>
          <w:highlight w:val="none"/>
        </w:rPr>
        <w:t xml:space="preserve">运维检查技术</w:t>
      </w:r>
      <w:r>
        <w:rPr>
          <w:rFonts w:ascii="宋体" w:hAnsi="宋体" w:cs="Arial"/>
          <w:color w:val="auto"/>
          <w:szCs w:val="21"/>
          <w:highlight w:val="none"/>
        </w:rPr>
        <w:t xml:space="preserve">服务能力，应在</w:t>
      </w:r>
      <w:r>
        <w:rPr>
          <w:rFonts w:hint="eastAsia" w:ascii="宋体" w:hAnsi="宋体" w:cs="Arial"/>
          <w:color w:val="auto"/>
          <w:szCs w:val="21"/>
          <w:highlight w:val="none"/>
        </w:rPr>
        <w:t xml:space="preserve">服务</w:t>
      </w:r>
      <w:r>
        <w:rPr>
          <w:rFonts w:ascii="宋体" w:hAnsi="宋体" w:cs="Arial"/>
          <w:color w:val="auto"/>
          <w:szCs w:val="21"/>
          <w:highlight w:val="none"/>
        </w:rPr>
        <w:t xml:space="preserve">区域2小时车程范围内至少设立1个</w:t>
      </w:r>
      <w:r>
        <w:rPr>
          <w:rFonts w:hint="eastAsia" w:ascii="宋体" w:hAnsi="宋体" w:cs="Arial"/>
          <w:color w:val="auto"/>
          <w:szCs w:val="21"/>
          <w:highlight w:val="none"/>
        </w:rPr>
        <w:t xml:space="preserve">服务</w:t>
      </w:r>
      <w:r>
        <w:rPr>
          <w:rFonts w:ascii="宋体" w:hAnsi="宋体" w:cs="Arial"/>
          <w:color w:val="auto"/>
          <w:szCs w:val="21"/>
          <w:highlight w:val="none"/>
        </w:rPr>
        <w:t xml:space="preserve">技术支持机构</w:t>
      </w:r>
      <w:r>
        <w:rPr>
          <w:rFonts w:hint="eastAsia" w:ascii="宋体" w:hAnsi="宋体" w:cs="Arial"/>
          <w:color w:val="auto"/>
          <w:szCs w:val="21"/>
          <w:highlight w:val="none"/>
        </w:rPr>
        <w:t xml:space="preserve">。</w:t>
      </w:r>
      <w:r/>
    </w:p>
    <w:p>
      <w:pPr>
        <w:numPr>
          <w:ilvl w:val="0"/>
          <w:numId w:val="25"/>
        </w:numPr>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cs="Arial"/>
          <w:color w:val="auto"/>
          <w:szCs w:val="21"/>
          <w:highlight w:val="none"/>
        </w:rPr>
        <w:t xml:space="preserve">人员</w:t>
      </w:r>
      <w:r>
        <w:rPr>
          <w:rFonts w:ascii="宋体" w:hAnsi="宋体"/>
          <w:iCs/>
          <w:color w:val="auto"/>
          <w:szCs w:val="21"/>
          <w:highlight w:val="none"/>
        </w:rPr>
        <w:t xml:space="preserve">管理</w:t>
      </w:r>
      <w:r>
        <w:rPr>
          <w:rFonts w:ascii="宋体" w:hAnsi="宋体" w:cs="Arial"/>
          <w:color w:val="auto"/>
          <w:szCs w:val="21"/>
          <w:highlight w:val="none"/>
        </w:rPr>
        <w:t xml:space="preserve">要求</w:t>
      </w:r>
      <w:r>
        <w:rPr>
          <w:rFonts w:hint="eastAsia" w:ascii="宋体" w:hAnsi="宋体" w:cs="Arial"/>
          <w:color w:val="auto"/>
          <w:szCs w:val="21"/>
          <w:highlight w:val="none"/>
        </w:rPr>
        <w:t xml:space="preserve">（成交后须按以下要求立即配备到位，响应单位须出具承诺函）</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应根据招标文件中的工作内容要求，在投标文件中详细列出本项目的主要人员及人员分工（包括</w:t>
      </w:r>
      <w:r>
        <w:rPr>
          <w:rFonts w:hint="eastAsia" w:ascii="宋体" w:hAnsi="宋体" w:cs="Arial"/>
          <w:color w:val="auto"/>
          <w:szCs w:val="21"/>
          <w:highlight w:val="none"/>
        </w:rPr>
        <w:t xml:space="preserve">现场检查</w:t>
      </w:r>
      <w:r>
        <w:rPr>
          <w:rFonts w:ascii="宋体" w:hAnsi="宋体" w:cs="Arial"/>
          <w:color w:val="auto"/>
          <w:szCs w:val="21"/>
          <w:highlight w:val="none"/>
        </w:rPr>
        <w:t xml:space="preserve">人员</w:t>
      </w:r>
      <w:r>
        <w:rPr>
          <w:rFonts w:hint="eastAsia" w:ascii="宋体" w:hAnsi="宋体" w:cs="Arial"/>
          <w:color w:val="auto"/>
          <w:szCs w:val="21"/>
          <w:highlight w:val="none"/>
        </w:rPr>
        <w:t xml:space="preserve">、</w:t>
      </w:r>
      <w:r>
        <w:rPr>
          <w:rFonts w:ascii="宋体" w:hAnsi="宋体" w:cs="Arial"/>
          <w:color w:val="auto"/>
          <w:szCs w:val="21"/>
          <w:highlight w:val="none"/>
        </w:rPr>
        <w:t xml:space="preserve">报告编制人、</w:t>
      </w:r>
      <w:r>
        <w:rPr>
          <w:rFonts w:hint="eastAsia" w:ascii="宋体" w:hAnsi="宋体" w:cs="Arial"/>
          <w:color w:val="auto"/>
          <w:szCs w:val="21"/>
          <w:highlight w:val="none"/>
        </w:rPr>
        <w:t xml:space="preserve">报告签发人等</w:t>
      </w:r>
      <w:r>
        <w:rPr>
          <w:rFonts w:ascii="宋体" w:hAnsi="宋体" w:cs="Arial"/>
          <w:color w:val="auto"/>
          <w:szCs w:val="21"/>
          <w:highlight w:val="none"/>
        </w:rPr>
        <w:t xml:space="preserve">）做出说明，同时做出落实有效保证</w:t>
      </w:r>
      <w:r>
        <w:rPr>
          <w:rFonts w:hint="eastAsia" w:ascii="宋体" w:hAnsi="宋体" w:cs="Arial"/>
          <w:color w:val="auto"/>
          <w:szCs w:val="21"/>
          <w:highlight w:val="none"/>
        </w:rPr>
        <w:t xml:space="preserve">的</w:t>
      </w:r>
      <w:r>
        <w:rPr>
          <w:rFonts w:ascii="宋体" w:hAnsi="宋体" w:cs="Arial"/>
          <w:color w:val="auto"/>
          <w:szCs w:val="21"/>
          <w:highlight w:val="none"/>
        </w:rPr>
        <w:t xml:space="preserve">承诺。</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除技术负责人和质量负责人外，响应单位所投项目组人员不得重复。</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至少指定一名高级管理人员</w:t>
      </w:r>
      <w:r>
        <w:rPr>
          <w:rFonts w:hint="eastAsia" w:ascii="宋体" w:hAnsi="宋体" w:cs="Arial"/>
          <w:color w:val="auto"/>
          <w:szCs w:val="21"/>
          <w:highlight w:val="none"/>
        </w:rPr>
        <w:t xml:space="preserve">作为本项目的技术负责人</w:t>
      </w:r>
      <w:r>
        <w:rPr>
          <w:rFonts w:ascii="宋体" w:hAnsi="宋体" w:cs="Arial"/>
          <w:color w:val="auto"/>
          <w:szCs w:val="21"/>
          <w:highlight w:val="none"/>
        </w:rPr>
        <w:t xml:space="preserve">，负责此项目的沟通协调。</w:t>
      </w:r>
      <w:r>
        <w:rPr>
          <w:rFonts w:hint="eastAsia" w:ascii="宋体" w:hAnsi="宋体" w:cs="Arial"/>
          <w:color w:val="auto"/>
          <w:szCs w:val="21"/>
          <w:highlight w:val="none"/>
        </w:rPr>
        <w:t xml:space="preserve">服务期内非得到采购人允许，技术负责人和质量负责人不得更换。</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本项目的技术负责人和质量负责人需至少获得中级职称5年以上，并且需为响应单位在职员工，具有</w:t>
      </w:r>
      <w:r>
        <w:rPr>
          <w:rFonts w:hint="eastAsia" w:ascii="宋体" w:hAnsi="宋体" w:cs="Arial"/>
          <w:color w:val="auto"/>
          <w:szCs w:val="21"/>
          <w:highlight w:val="none"/>
        </w:rPr>
        <w:t xml:space="preserve">社保</w:t>
      </w:r>
      <w:r>
        <w:rPr>
          <w:rFonts w:hint="eastAsia" w:ascii="宋体" w:hAnsi="宋体" w:cs="Arial"/>
          <w:color w:val="auto"/>
          <w:szCs w:val="21"/>
          <w:highlight w:val="none"/>
        </w:rPr>
        <w:t xml:space="preserve">缴纳证明</w:t>
      </w:r>
      <w:r>
        <w:rPr>
          <w:rFonts w:hint="eastAsia" w:ascii="宋体" w:hAnsi="宋体" w:cs="Arial"/>
          <w:color w:val="auto"/>
          <w:szCs w:val="21"/>
          <w:highlight w:val="none"/>
        </w:rPr>
        <w:t xml:space="preserve">。</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技术负责人及其指定的助理，负责与采购人对接每月的质控检查计划，协调处理安排具体的检查工作。</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ascii="宋体" w:hAnsi="宋体" w:cs="Arial"/>
          <w:color w:val="auto"/>
          <w:szCs w:val="21"/>
          <w:highlight w:val="none"/>
        </w:rPr>
        <w:t xml:space="preserve">本项目要求</w:t>
      </w:r>
      <w:r>
        <w:rPr>
          <w:rFonts w:hint="eastAsia" w:ascii="宋体" w:hAnsi="宋体" w:cs="Arial"/>
          <w:color w:val="auto"/>
          <w:szCs w:val="21"/>
          <w:highlight w:val="none"/>
        </w:rPr>
        <w:t xml:space="preserve">安排</w:t>
      </w:r>
      <w:r>
        <w:rPr>
          <w:rFonts w:ascii="宋体" w:hAnsi="宋体" w:cs="Arial"/>
          <w:color w:val="auto"/>
          <w:szCs w:val="21"/>
          <w:highlight w:val="none"/>
        </w:rPr>
        <w:t xml:space="preserve">2名</w:t>
      </w:r>
      <w:r>
        <w:rPr>
          <w:rFonts w:hint="eastAsia" w:ascii="宋体" w:hAnsi="宋体" w:cs="Arial"/>
          <w:color w:val="auto"/>
          <w:szCs w:val="21"/>
          <w:highlight w:val="none"/>
        </w:rPr>
        <w:t xml:space="preserve">专职人员定点</w:t>
      </w:r>
      <w:r>
        <w:rPr>
          <w:rFonts w:ascii="宋体" w:hAnsi="宋体" w:cs="Arial"/>
          <w:color w:val="auto"/>
          <w:szCs w:val="21"/>
          <w:highlight w:val="none"/>
        </w:rPr>
        <w:t xml:space="preserve">工作，</w:t>
      </w:r>
      <w:r>
        <w:rPr>
          <w:rFonts w:hint="eastAsia" w:ascii="宋体" w:hAnsi="宋体" w:cs="Arial"/>
          <w:color w:val="auto"/>
          <w:szCs w:val="21"/>
          <w:highlight w:val="none"/>
        </w:rPr>
        <w:t xml:space="preserve">协助采购人开展自动监测数据的日监控工作，</w:t>
      </w:r>
      <w:r>
        <w:rPr>
          <w:rFonts w:ascii="宋体" w:hAnsi="宋体" w:cs="Arial"/>
          <w:color w:val="auto"/>
          <w:szCs w:val="21"/>
          <w:highlight w:val="none"/>
        </w:rPr>
        <w:t xml:space="preserve">负责现场协调</w:t>
      </w:r>
      <w:r>
        <w:rPr>
          <w:rFonts w:hint="eastAsia" w:ascii="宋体" w:hAnsi="宋体" w:cs="Arial"/>
          <w:color w:val="auto"/>
          <w:szCs w:val="21"/>
          <w:highlight w:val="none"/>
        </w:rPr>
        <w:t xml:space="preserve">、问题调查</w:t>
      </w:r>
      <w:r>
        <w:rPr>
          <w:rFonts w:ascii="宋体" w:hAnsi="宋体" w:cs="Arial"/>
          <w:color w:val="auto"/>
          <w:szCs w:val="21"/>
          <w:highlight w:val="none"/>
        </w:rPr>
        <w:t xml:space="preserve">和材料汇总等</w:t>
      </w:r>
      <w:r>
        <w:rPr>
          <w:rFonts w:hint="eastAsia" w:ascii="宋体" w:hAnsi="宋体" w:cs="Arial"/>
          <w:color w:val="auto"/>
          <w:szCs w:val="21"/>
          <w:highlight w:val="none"/>
        </w:rPr>
        <w:t xml:space="preserve">采购人</w:t>
      </w:r>
      <w:r>
        <w:rPr>
          <w:rFonts w:ascii="宋体" w:hAnsi="宋体" w:cs="Arial"/>
          <w:color w:val="auto"/>
          <w:szCs w:val="21"/>
          <w:highlight w:val="none"/>
        </w:rPr>
        <w:t xml:space="preserve">交办的工作，</w:t>
      </w:r>
      <w:r>
        <w:rPr>
          <w:rFonts w:hint="eastAsia" w:ascii="宋体" w:hAnsi="宋体" w:cs="Arial"/>
          <w:color w:val="auto"/>
          <w:szCs w:val="21"/>
          <w:highlight w:val="none"/>
        </w:rPr>
        <w:t xml:space="preserve">以上2名工作人员</w:t>
      </w:r>
      <w:r>
        <w:rPr>
          <w:rFonts w:ascii="宋体" w:hAnsi="宋体" w:cs="Arial"/>
          <w:color w:val="auto"/>
          <w:szCs w:val="21"/>
          <w:highlight w:val="none"/>
        </w:rPr>
        <w:t xml:space="preserve">应具有</w:t>
      </w:r>
      <w:r>
        <w:rPr>
          <w:rFonts w:hint="eastAsia" w:ascii="宋体" w:hAnsi="宋体" w:cs="Arial"/>
          <w:color w:val="auto"/>
          <w:szCs w:val="21"/>
          <w:highlight w:val="none"/>
        </w:rPr>
        <w:t xml:space="preserve">一定自动监测技术业务能力、</w:t>
      </w:r>
      <w:r>
        <w:rPr>
          <w:rFonts w:ascii="宋体" w:hAnsi="宋体" w:cs="Arial"/>
          <w:color w:val="auto"/>
          <w:szCs w:val="21"/>
          <w:highlight w:val="none"/>
        </w:rPr>
        <w:t xml:space="preserve">较好的沟通协调能力和文字表达能力。</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iCs/>
          <w:color w:val="auto"/>
          <w:sz w:val="24"/>
          <w:szCs w:val="20"/>
          <w:highlight w:val="none"/>
        </w:rPr>
        <w:t xml:space="preserve">▲</w:t>
      </w:r>
      <w:r>
        <w:rPr>
          <w:rFonts w:hint="eastAsia" w:ascii="宋体" w:hAnsi="宋体" w:cs="Arial"/>
          <w:color w:val="auto"/>
          <w:szCs w:val="21"/>
          <w:highlight w:val="none"/>
        </w:rPr>
        <w:t xml:space="preserve">合同期间，本项目所有技术人员更换率不得超过20%。</w:t>
      </w:r>
      <w:r/>
    </w:p>
    <w:p>
      <w:pPr>
        <w:numPr>
          <w:ilvl w:val="0"/>
          <w:numId w:val="27"/>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合同期间，响应单位应</w:t>
      </w:r>
      <w:r>
        <w:rPr>
          <w:rFonts w:ascii="宋体" w:hAnsi="宋体" w:cs="Arial"/>
          <w:color w:val="auto"/>
          <w:szCs w:val="21"/>
          <w:highlight w:val="none"/>
        </w:rPr>
        <w:t xml:space="preserve">采取必要的安全</w:t>
      </w:r>
      <w:r>
        <w:rPr>
          <w:rFonts w:hint="eastAsia" w:ascii="宋体" w:hAnsi="宋体" w:cs="Arial"/>
          <w:color w:val="auto"/>
          <w:szCs w:val="21"/>
          <w:highlight w:val="none"/>
        </w:rPr>
        <w:t xml:space="preserve">保护及相关</w:t>
      </w:r>
      <w:r>
        <w:rPr>
          <w:rFonts w:ascii="宋体" w:hAnsi="宋体" w:cs="Arial"/>
          <w:color w:val="auto"/>
          <w:szCs w:val="21"/>
          <w:highlight w:val="none"/>
        </w:rPr>
        <w:t xml:space="preserve">措</w:t>
      </w:r>
      <w:r>
        <w:rPr>
          <w:rFonts w:hint="eastAsia" w:ascii="宋体" w:hAnsi="宋体" w:cs="Arial"/>
          <w:color w:val="auto"/>
          <w:szCs w:val="21"/>
          <w:highlight w:val="none"/>
        </w:rPr>
        <w:t xml:space="preserve">施，</w:t>
      </w:r>
      <w:r>
        <w:rPr>
          <w:rFonts w:ascii="宋体" w:hAnsi="宋体" w:cs="Arial"/>
          <w:color w:val="auto"/>
          <w:szCs w:val="21"/>
          <w:highlight w:val="none"/>
        </w:rPr>
        <w:t xml:space="preserve">保障</w:t>
      </w:r>
      <w:r>
        <w:rPr>
          <w:rFonts w:hint="eastAsia" w:ascii="宋体" w:hAnsi="宋体" w:cs="Arial"/>
          <w:color w:val="auto"/>
          <w:szCs w:val="21"/>
          <w:highlight w:val="none"/>
        </w:rPr>
        <w:t xml:space="preserve">质控检查活动中工作人员的</w:t>
      </w:r>
      <w:r>
        <w:rPr>
          <w:rFonts w:ascii="宋体" w:hAnsi="宋体" w:cs="Arial"/>
          <w:color w:val="auto"/>
          <w:szCs w:val="21"/>
          <w:highlight w:val="none"/>
        </w:rPr>
        <w:t xml:space="preserve">人身</w:t>
      </w:r>
      <w:r>
        <w:rPr>
          <w:rFonts w:hint="eastAsia" w:ascii="宋体" w:hAnsi="宋体" w:cs="Arial"/>
          <w:color w:val="auto"/>
          <w:szCs w:val="21"/>
          <w:highlight w:val="none"/>
        </w:rPr>
        <w:t xml:space="preserve">和财产</w:t>
      </w:r>
      <w:r>
        <w:rPr>
          <w:rFonts w:ascii="宋体" w:hAnsi="宋体" w:cs="Arial"/>
          <w:color w:val="auto"/>
          <w:szCs w:val="21"/>
          <w:highlight w:val="none"/>
        </w:rPr>
        <w:t xml:space="preserve">安全。如</w:t>
      </w:r>
      <w:r>
        <w:rPr>
          <w:rFonts w:hint="eastAsia" w:ascii="宋体" w:hAnsi="宋体" w:cs="Arial"/>
          <w:color w:val="auto"/>
          <w:szCs w:val="21"/>
          <w:highlight w:val="none"/>
        </w:rPr>
        <w:t xml:space="preserve">工作人员在工作中</w:t>
      </w:r>
      <w:r>
        <w:rPr>
          <w:rFonts w:ascii="宋体" w:hAnsi="宋体" w:cs="Arial"/>
          <w:color w:val="auto"/>
          <w:szCs w:val="21"/>
          <w:highlight w:val="none"/>
        </w:rPr>
        <w:t xml:space="preserve">发生任何</w:t>
      </w:r>
      <w:r>
        <w:rPr>
          <w:rFonts w:hint="eastAsia" w:ascii="宋体" w:hAnsi="宋体" w:cs="Arial"/>
          <w:color w:val="auto"/>
          <w:szCs w:val="21"/>
          <w:highlight w:val="none"/>
        </w:rPr>
        <w:t xml:space="preserve">人身损害及财产损失，与采购人无关，响应单位</w:t>
      </w:r>
      <w:r>
        <w:rPr>
          <w:rFonts w:ascii="宋体" w:hAnsi="宋体" w:cs="Arial"/>
          <w:color w:val="auto"/>
          <w:szCs w:val="21"/>
          <w:highlight w:val="none"/>
        </w:rPr>
        <w:t xml:space="preserve">负</w:t>
      </w:r>
      <w:r>
        <w:rPr>
          <w:rFonts w:hint="eastAsia" w:ascii="宋体" w:hAnsi="宋体" w:cs="Arial"/>
          <w:color w:val="auto"/>
          <w:szCs w:val="21"/>
          <w:highlight w:val="none"/>
        </w:rPr>
        <w:t xml:space="preserve">责全权</w:t>
      </w:r>
      <w:r>
        <w:rPr>
          <w:rFonts w:ascii="宋体" w:hAnsi="宋体" w:cs="Arial"/>
          <w:color w:val="auto"/>
          <w:szCs w:val="21"/>
          <w:highlight w:val="none"/>
        </w:rPr>
        <w:t xml:space="preserve">处理事故</w:t>
      </w:r>
      <w:r>
        <w:rPr>
          <w:rFonts w:hint="eastAsia" w:ascii="宋体" w:hAnsi="宋体" w:cs="Arial"/>
          <w:color w:val="auto"/>
          <w:szCs w:val="21"/>
          <w:highlight w:val="none"/>
        </w:rPr>
        <w:t xml:space="preserve">并承担全部</w:t>
      </w:r>
      <w:r>
        <w:rPr>
          <w:rFonts w:ascii="宋体" w:hAnsi="宋体" w:cs="Arial"/>
          <w:color w:val="auto"/>
          <w:szCs w:val="21"/>
          <w:highlight w:val="none"/>
        </w:rPr>
        <w:t xml:space="preserve">费用，</w:t>
      </w:r>
      <w:r>
        <w:rPr>
          <w:rFonts w:hint="eastAsia" w:ascii="宋体" w:hAnsi="宋体" w:cs="Arial"/>
          <w:color w:val="auto"/>
          <w:szCs w:val="21"/>
          <w:highlight w:val="none"/>
        </w:rPr>
        <w:t xml:space="preserve">并且响应单位自愿放弃对采购人提起任何索赔及法律责任之追究。</w:t>
      </w:r>
      <w:r/>
    </w:p>
    <w:p>
      <w:pPr>
        <w:numPr>
          <w:ilvl w:val="0"/>
          <w:numId w:val="27"/>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cs="Arial"/>
          <w:bCs/>
          <w:color w:val="auto"/>
          <w:szCs w:val="21"/>
          <w:highlight w:val="none"/>
        </w:rPr>
        <w:t xml:space="preserve">关键岗位人员要求</w:t>
      </w:r>
      <w:r/>
    </w:p>
    <w:p>
      <w:pPr>
        <w:numPr>
          <w:ilvl w:val="0"/>
          <w:numId w:val="28"/>
        </w:numPr>
        <w:contextualSpacing/>
        <w:ind w:left="993" w:hanging="426"/>
        <w:spacing w:line="400" w:lineRule="exact"/>
        <w:shd w:val="clear" w:color="auto"/>
        <w:tabs>
          <w:tab w:val="left" w:pos="993" w:leader="none"/>
        </w:tabs>
        <w:rPr>
          <w:rFonts w:hint="eastAsia" w:ascii="宋体" w:hAnsi="宋体" w:cs="Arial"/>
          <w:color w:val="auto"/>
          <w:szCs w:val="21"/>
          <w:highlight w:val="none"/>
        </w:rPr>
      </w:pPr>
      <w:r>
        <w:rPr>
          <w:rFonts w:hint="eastAsia" w:ascii="宋体" w:hAnsi="宋体" w:cs="Arial"/>
          <w:color w:val="auto"/>
          <w:szCs w:val="21"/>
          <w:highlight w:val="none"/>
        </w:rPr>
        <w:t xml:space="preserve">全部质控检查</w:t>
      </w:r>
      <w:r>
        <w:rPr>
          <w:rFonts w:ascii="宋体" w:hAnsi="宋体" w:cs="Arial"/>
          <w:color w:val="auto"/>
          <w:szCs w:val="21"/>
          <w:highlight w:val="none"/>
        </w:rPr>
        <w:t xml:space="preserve">人员</w:t>
      </w:r>
      <w:r>
        <w:rPr>
          <w:rFonts w:hint="eastAsia" w:ascii="宋体" w:hAnsi="宋体" w:cs="Arial"/>
          <w:color w:val="auto"/>
          <w:szCs w:val="21"/>
          <w:highlight w:val="none"/>
        </w:rPr>
        <w:t xml:space="preserve">在合同签定前</w:t>
      </w:r>
      <w:r>
        <w:rPr>
          <w:rFonts w:ascii="宋体" w:hAnsi="宋体" w:cs="Arial"/>
          <w:color w:val="auto"/>
          <w:szCs w:val="21"/>
          <w:highlight w:val="none"/>
        </w:rPr>
        <w:t xml:space="preserve">须经过</w:t>
      </w:r>
      <w:r>
        <w:rPr>
          <w:rFonts w:hint="eastAsia" w:ascii="宋体" w:hAnsi="宋体" w:cs="Arial"/>
          <w:color w:val="auto"/>
          <w:szCs w:val="21"/>
          <w:highlight w:val="none"/>
        </w:rPr>
        <w:t xml:space="preserve">水质自动监测</w:t>
      </w:r>
      <w:r>
        <w:rPr>
          <w:rFonts w:ascii="宋体" w:hAnsi="宋体" w:cs="Arial"/>
          <w:color w:val="auto"/>
          <w:szCs w:val="21"/>
          <w:highlight w:val="none"/>
        </w:rPr>
        <w:t xml:space="preserve">技术培训，熟悉</w:t>
      </w:r>
      <w:r>
        <w:rPr>
          <w:rFonts w:hint="eastAsia" w:ascii="宋体" w:hAnsi="宋体" w:cs="Arial"/>
          <w:color w:val="auto"/>
          <w:szCs w:val="21"/>
          <w:highlight w:val="none"/>
        </w:rPr>
        <w:t xml:space="preserve">水质自动监测原理、方法与程序</w:t>
      </w:r>
      <w:r>
        <w:rPr>
          <w:rFonts w:ascii="宋体" w:hAnsi="宋体" w:cs="Arial"/>
          <w:color w:val="auto"/>
          <w:szCs w:val="21"/>
          <w:highlight w:val="none"/>
        </w:rPr>
        <w:t xml:space="preserve">。</w:t>
      </w:r>
      <w:r/>
    </w:p>
    <w:p>
      <w:pPr>
        <w:numPr>
          <w:ilvl w:val="0"/>
          <w:numId w:val="28"/>
        </w:numPr>
        <w:contextualSpacing/>
        <w:ind w:left="993" w:hanging="426"/>
        <w:spacing w:line="400" w:lineRule="exact"/>
        <w:shd w:val="clear" w:color="auto"/>
        <w:tabs>
          <w:tab w:val="left" w:pos="993" w:leader="none"/>
        </w:tabs>
        <w:rPr>
          <w:rFonts w:hint="eastAsia" w:ascii="宋体" w:hAnsi="宋体" w:cs="Arial"/>
          <w:color w:val="auto"/>
          <w:szCs w:val="21"/>
          <w:highlight w:val="none"/>
        </w:rPr>
      </w:pPr>
      <w:r>
        <w:rPr>
          <w:rFonts w:ascii="宋体" w:hAnsi="宋体" w:cs="Arial"/>
          <w:color w:val="auto"/>
          <w:szCs w:val="21"/>
          <w:highlight w:val="none"/>
        </w:rPr>
        <w:t xml:space="preserve">报告编制人熟悉相关标准规范要求，明确委托的内容和要求。</w:t>
      </w:r>
      <w:r/>
    </w:p>
    <w:p>
      <w:pPr>
        <w:numPr>
          <w:ilvl w:val="0"/>
          <w:numId w:val="28"/>
        </w:numPr>
        <w:contextualSpacing/>
        <w:ind w:left="993" w:hanging="426"/>
        <w:spacing w:line="400" w:lineRule="exact"/>
        <w:shd w:val="clear" w:color="auto"/>
        <w:tabs>
          <w:tab w:val="left" w:pos="993" w:leader="none"/>
        </w:tabs>
        <w:rPr>
          <w:rFonts w:hint="eastAsia" w:ascii="宋体" w:hAnsi="宋体" w:cs="Arial"/>
          <w:color w:val="auto"/>
          <w:szCs w:val="21"/>
          <w:highlight w:val="none"/>
        </w:rPr>
      </w:pPr>
      <w:r>
        <w:rPr>
          <w:rFonts w:ascii="宋体" w:hAnsi="宋体" w:cs="Arial"/>
          <w:color w:val="auto"/>
          <w:szCs w:val="21"/>
          <w:highlight w:val="none"/>
        </w:rPr>
        <w:t xml:space="preserve">报告</w:t>
      </w:r>
      <w:r>
        <w:rPr>
          <w:rFonts w:hint="eastAsia" w:ascii="宋体" w:hAnsi="宋体" w:cs="Arial"/>
          <w:color w:val="auto"/>
          <w:szCs w:val="21"/>
          <w:highlight w:val="none"/>
        </w:rPr>
        <w:t xml:space="preserve">签发</w:t>
      </w:r>
      <w:r>
        <w:rPr>
          <w:rFonts w:ascii="宋体" w:hAnsi="宋体" w:cs="Arial"/>
          <w:color w:val="auto"/>
          <w:szCs w:val="21"/>
          <w:highlight w:val="none"/>
        </w:rPr>
        <w:t xml:space="preserve">人必须由</w:t>
      </w:r>
      <w:r>
        <w:rPr>
          <w:rFonts w:hint="eastAsia" w:ascii="宋体" w:hAnsi="宋体" w:cs="Arial"/>
          <w:color w:val="auto"/>
          <w:szCs w:val="21"/>
          <w:highlight w:val="none"/>
        </w:rPr>
        <w:t xml:space="preserve">技术负责人</w:t>
      </w:r>
      <w:r>
        <w:rPr>
          <w:rFonts w:ascii="宋体" w:hAnsi="宋体" w:cs="Arial"/>
          <w:color w:val="auto"/>
          <w:szCs w:val="21"/>
          <w:highlight w:val="none"/>
        </w:rPr>
        <w:t xml:space="preserve">担任，能够判断</w:t>
      </w:r>
      <w:r>
        <w:rPr>
          <w:rFonts w:hint="eastAsia" w:ascii="宋体" w:hAnsi="宋体" w:cs="Arial"/>
          <w:color w:val="auto"/>
          <w:szCs w:val="21"/>
          <w:highlight w:val="none"/>
        </w:rPr>
        <w:t xml:space="preserve">质控检查结果的</w:t>
      </w:r>
      <w:r>
        <w:rPr>
          <w:rFonts w:ascii="宋体" w:hAnsi="宋体" w:cs="Arial"/>
          <w:color w:val="auto"/>
          <w:szCs w:val="21"/>
          <w:highlight w:val="none"/>
        </w:rPr>
        <w:t xml:space="preserve">合理性和有效性。</w:t>
      </w:r>
      <w:r/>
    </w:p>
    <w:p>
      <w:pPr>
        <w:numPr>
          <w:ilvl w:val="0"/>
          <w:numId w:val="25"/>
        </w:numPr>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iCs/>
          <w:color w:val="auto"/>
          <w:szCs w:val="21"/>
          <w:highlight w:val="none"/>
        </w:rPr>
        <w:t xml:space="preserve">技术</w:t>
      </w:r>
      <w:r>
        <w:rPr>
          <w:rFonts w:ascii="宋体" w:hAnsi="宋体" w:cs="Arial"/>
          <w:color w:val="auto"/>
          <w:szCs w:val="21"/>
          <w:highlight w:val="none"/>
        </w:rPr>
        <w:t xml:space="preserve">与装备要求</w:t>
      </w:r>
      <w:r>
        <w:rPr>
          <w:rFonts w:hint="eastAsia" w:ascii="宋体" w:hAnsi="宋体" w:cs="Arial"/>
          <w:color w:val="auto"/>
          <w:szCs w:val="21"/>
          <w:highlight w:val="none"/>
        </w:rPr>
        <w:t xml:space="preserve">（成交后须按以下要求立即配备到位，响应单位须出具承诺函）</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cs="Arial"/>
          <w:color w:val="auto"/>
          <w:szCs w:val="21"/>
          <w:highlight w:val="none"/>
        </w:rPr>
        <w:t xml:space="preserve">车辆要求，</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所</w:t>
      </w:r>
      <w:r>
        <w:rPr>
          <w:rFonts w:ascii="宋体" w:hAnsi="宋体" w:cs="Arial"/>
          <w:bCs/>
          <w:color w:val="auto"/>
          <w:szCs w:val="21"/>
          <w:highlight w:val="none"/>
        </w:rPr>
        <w:t xml:space="preserve">需车辆均由</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提供</w:t>
      </w:r>
      <w:r>
        <w:rPr>
          <w:rFonts w:hint="eastAsia" w:ascii="宋体" w:hAnsi="宋体" w:cs="Arial"/>
          <w:bCs/>
          <w:color w:val="auto"/>
          <w:szCs w:val="21"/>
          <w:highlight w:val="none"/>
        </w:rPr>
        <w:t xml:space="preserve">，响应文件中所列车辆须为本项目专用</w:t>
      </w:r>
      <w:r>
        <w:rPr>
          <w:rFonts w:ascii="宋体" w:hAnsi="宋体" w:cs="Arial"/>
          <w:bCs/>
          <w:color w:val="auto"/>
          <w:szCs w:val="21"/>
          <w:highlight w:val="none"/>
        </w:rPr>
        <w:t xml:space="preserve">。</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cs="Arial"/>
          <w:bCs/>
          <w:color w:val="auto"/>
          <w:szCs w:val="21"/>
          <w:highlight w:val="none"/>
        </w:rPr>
        <w:t xml:space="preserve">监测实施和环境要求，</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应</w:t>
      </w:r>
      <w:r>
        <w:rPr>
          <w:rFonts w:hint="eastAsia" w:ascii="宋体" w:hAnsi="宋体" w:cs="Arial"/>
          <w:bCs/>
          <w:color w:val="auto"/>
          <w:szCs w:val="21"/>
          <w:highlight w:val="none"/>
        </w:rPr>
        <w:t xml:space="preserve">配备</w:t>
      </w:r>
      <w:r>
        <w:rPr>
          <w:rFonts w:ascii="宋体" w:hAnsi="宋体" w:cs="Arial"/>
          <w:bCs/>
          <w:color w:val="auto"/>
          <w:szCs w:val="21"/>
          <w:highlight w:val="none"/>
        </w:rPr>
        <w:t xml:space="preserve">固定的监测活动场所，满足监测仪器设备放置、</w:t>
      </w:r>
      <w:r>
        <w:rPr>
          <w:rFonts w:hint="eastAsia" w:ascii="宋体" w:hAnsi="宋体" w:cs="Arial"/>
          <w:bCs/>
          <w:color w:val="auto"/>
          <w:szCs w:val="21"/>
          <w:highlight w:val="none"/>
        </w:rPr>
        <w:t xml:space="preserve">盲样配制、样品分析、</w:t>
      </w:r>
      <w:r>
        <w:rPr>
          <w:rFonts w:ascii="宋体" w:hAnsi="宋体" w:cs="Arial"/>
          <w:bCs/>
          <w:color w:val="auto"/>
          <w:szCs w:val="21"/>
          <w:highlight w:val="none"/>
        </w:rPr>
        <w:t xml:space="preserve">开展</w:t>
      </w:r>
      <w:r>
        <w:rPr>
          <w:rFonts w:hint="eastAsia" w:ascii="宋体" w:hAnsi="宋体" w:cs="Arial"/>
          <w:bCs/>
          <w:color w:val="auto"/>
          <w:szCs w:val="21"/>
          <w:highlight w:val="none"/>
        </w:rPr>
        <w:t xml:space="preserve">质控检查和监测</w:t>
      </w:r>
      <w:r>
        <w:rPr>
          <w:rFonts w:ascii="宋体" w:hAnsi="宋体" w:cs="Arial"/>
          <w:bCs/>
          <w:color w:val="auto"/>
          <w:szCs w:val="21"/>
          <w:highlight w:val="none"/>
        </w:rPr>
        <w:t xml:space="preserve">活动所需的条件要求。</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cs="Arial"/>
          <w:bCs/>
          <w:color w:val="auto"/>
          <w:szCs w:val="21"/>
          <w:highlight w:val="none"/>
        </w:rPr>
        <w:t xml:space="preserve">仪器设备要求，</w:t>
      </w:r>
      <w:r>
        <w:rPr>
          <w:rFonts w:hint="eastAsia" w:ascii="宋体" w:hAnsi="宋体" w:cs="Arial"/>
          <w:bCs/>
          <w:color w:val="auto"/>
          <w:szCs w:val="21"/>
          <w:highlight w:val="none"/>
        </w:rPr>
        <w:t xml:space="preserve">响应单位根据采购需求，</w:t>
      </w:r>
      <w:r>
        <w:rPr>
          <w:rFonts w:ascii="宋体" w:hAnsi="宋体" w:cs="Arial"/>
          <w:bCs/>
          <w:color w:val="auto"/>
          <w:szCs w:val="21"/>
          <w:highlight w:val="none"/>
        </w:rPr>
        <w:t xml:space="preserve">应配备数量充足、技术指标符合相关监测方法要求的各类监测仪器设备和标准物质</w:t>
      </w:r>
      <w:r>
        <w:rPr>
          <w:rFonts w:hint="eastAsia" w:ascii="宋体" w:hAnsi="宋体" w:cs="Arial"/>
          <w:bCs/>
          <w:color w:val="auto"/>
          <w:szCs w:val="21"/>
          <w:highlight w:val="none"/>
        </w:rPr>
        <w:t xml:space="preserve">，现场质控仪器需须为本项目专用，</w:t>
      </w:r>
      <w:r>
        <w:rPr>
          <w:rFonts w:ascii="宋体" w:hAnsi="宋体" w:cs="Arial"/>
          <w:bCs/>
          <w:color w:val="auto"/>
          <w:szCs w:val="21"/>
          <w:highlight w:val="none"/>
        </w:rPr>
        <w:t xml:space="preserve">与采样和监测结果的准确性和有效性相关的仪器设备在投入使用前，必须进行量值溯源，并保持其在有效期内进行监测</w:t>
      </w:r>
      <w:r>
        <w:rPr>
          <w:rFonts w:hint="eastAsia" w:ascii="宋体" w:hAnsi="宋体" w:cs="Arial"/>
          <w:bCs/>
          <w:color w:val="auto"/>
          <w:szCs w:val="21"/>
          <w:highlight w:val="none"/>
        </w:rPr>
        <w:t xml:space="preserve">。</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质控平台要求，为满足水质自动站质控工作“数智化”监管需要，实现质控全程留痕管理，投标人需自配质控管理系统平台（简称质控平台），所有质控过程在质控平台上完成，质控平台需包含移动端软件及配套终端数据处理系统。质控平台功能需包含质控站点</w:t>
      </w:r>
      <w:r>
        <w:rPr>
          <w:rFonts w:ascii="宋体" w:hAnsi="宋体" w:cs="Arial"/>
          <w:bCs/>
          <w:color w:val="auto"/>
          <w:szCs w:val="21"/>
          <w:highlight w:val="none"/>
        </w:rPr>
        <w:t xml:space="preserve">GIS</w:t>
      </w:r>
      <w:r>
        <w:rPr>
          <w:rFonts w:hint="eastAsia" w:ascii="宋体" w:hAnsi="宋体" w:cs="Arial"/>
          <w:bCs/>
          <w:color w:val="auto"/>
          <w:szCs w:val="21"/>
          <w:highlight w:val="none"/>
        </w:rPr>
        <w:t xml:space="preserve">查询、质控计划管理和提醒、质控工单管理、考核管理、站点管理、设备管理、统计分析等；移动端软件功能包括质控任务管理、工单管理、质控统计等。质控检查人员需通过移动端软件对水质自动站</w:t>
      </w:r>
      <w:r>
        <w:rPr>
          <w:rFonts w:ascii="宋体" w:hAnsi="宋体" w:cs="Arial"/>
          <w:bCs/>
          <w:color w:val="auto"/>
          <w:szCs w:val="21"/>
          <w:highlight w:val="none"/>
        </w:rPr>
        <w:t xml:space="preserve">/点位现场的检查情况进行拍照记录，并对质</w:t>
      </w:r>
      <w:r>
        <w:rPr>
          <w:rFonts w:hint="eastAsia" w:ascii="宋体" w:hAnsi="宋体" w:cs="Arial"/>
          <w:bCs/>
          <w:color w:val="auto"/>
          <w:szCs w:val="21"/>
          <w:highlight w:val="none"/>
        </w:rPr>
        <w:t xml:space="preserve">控检查过程进行拍摄上传质控平台。</w:t>
      </w:r>
      <w:r>
        <w:rPr>
          <w:rFonts w:hint="eastAsia" w:ascii="宋体" w:hAnsi="宋体" w:cs="Arial"/>
          <w:bCs/>
          <w:color w:val="auto"/>
          <w:szCs w:val="21"/>
          <w:highlight w:val="none"/>
        </w:rPr>
        <w:t xml:space="preserve">在此基础上，能够响应采购人的管理要求对平台进行功能优化及更新。</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bCs/>
          <w:iCs/>
          <w:color w:val="auto"/>
          <w:szCs w:val="21"/>
          <w:highlight w:val="none"/>
        </w:rPr>
        <w:t xml:space="preserve">外部</w:t>
      </w:r>
      <w:r>
        <w:rPr>
          <w:rFonts w:ascii="宋体" w:hAnsi="宋体" w:cs="Arial"/>
          <w:bCs/>
          <w:color w:val="auto"/>
          <w:szCs w:val="21"/>
          <w:highlight w:val="none"/>
        </w:rPr>
        <w:t xml:space="preserve">质量监督要求，</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要接受采购人对</w:t>
      </w:r>
      <w:r>
        <w:rPr>
          <w:rFonts w:hint="eastAsia" w:ascii="宋体" w:hAnsi="宋体" w:cs="Arial"/>
          <w:bCs/>
          <w:color w:val="auto"/>
          <w:szCs w:val="21"/>
          <w:highlight w:val="none"/>
        </w:rPr>
        <w:t xml:space="preserve">质控检查工作的监督检查</w:t>
      </w:r>
      <w:r>
        <w:rPr>
          <w:rFonts w:ascii="宋体" w:hAnsi="宋体" w:cs="Arial"/>
          <w:bCs/>
          <w:color w:val="auto"/>
          <w:szCs w:val="21"/>
          <w:highlight w:val="none"/>
        </w:rPr>
        <w:t xml:space="preserve">。</w:t>
      </w:r>
      <w:r/>
    </w:p>
    <w:p>
      <w:pPr>
        <w:contextualSpacing/>
        <w:ind w:left="567"/>
        <w:spacing w:line="400" w:lineRule="exact"/>
        <w:shd w:val="clear" w:color="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w:t>
      </w:r>
      <w:r>
        <w:rPr>
          <w:rFonts w:ascii="宋体" w:hAnsi="宋体" w:cs="Arial"/>
          <w:bCs/>
          <w:color w:val="auto"/>
          <w:szCs w:val="21"/>
          <w:highlight w:val="none"/>
        </w:rPr>
        <w:t xml:space="preserve">不定期对</w:t>
      </w:r>
      <w:r>
        <w:rPr>
          <w:rFonts w:hint="eastAsia" w:ascii="宋体" w:hAnsi="宋体" w:cs="Arial"/>
          <w:bCs/>
          <w:color w:val="auto"/>
          <w:szCs w:val="21"/>
          <w:highlight w:val="none"/>
        </w:rPr>
        <w:t xml:space="preserve">质控检查机构的质量管理体系、质控检查</w:t>
      </w:r>
      <w:r>
        <w:rPr>
          <w:rFonts w:ascii="宋体" w:hAnsi="宋体" w:cs="Arial"/>
          <w:bCs/>
          <w:color w:val="auto"/>
          <w:szCs w:val="21"/>
          <w:highlight w:val="none"/>
        </w:rPr>
        <w:t xml:space="preserve">活动</w:t>
      </w:r>
      <w:r>
        <w:rPr>
          <w:rFonts w:hint="eastAsia" w:ascii="宋体" w:hAnsi="宋体" w:cs="Arial"/>
          <w:bCs/>
          <w:color w:val="auto"/>
          <w:szCs w:val="21"/>
          <w:highlight w:val="none"/>
        </w:rPr>
        <w:t xml:space="preserve">完成情况等进行飞行检查，并对现场质控检查视频记录进行抽查，不</w:t>
      </w:r>
      <w:r>
        <w:rPr>
          <w:rFonts w:ascii="宋体" w:hAnsi="宋体" w:cs="Arial"/>
          <w:bCs/>
          <w:color w:val="auto"/>
          <w:szCs w:val="21"/>
          <w:highlight w:val="none"/>
        </w:rPr>
        <w:t xml:space="preserve">合格项要求限时整改；合格率低于8</w:t>
      </w:r>
      <w:r>
        <w:rPr>
          <w:rFonts w:hint="eastAsia" w:ascii="宋体" w:hAnsi="宋体" w:cs="Arial"/>
          <w:bCs/>
          <w:color w:val="auto"/>
          <w:szCs w:val="21"/>
          <w:highlight w:val="none"/>
        </w:rPr>
        <w:t xml:space="preserve">0</w:t>
      </w:r>
      <w:r>
        <w:rPr>
          <w:rFonts w:ascii="宋体" w:hAnsi="宋体" w:cs="Arial"/>
          <w:bCs/>
          <w:color w:val="auto"/>
          <w:szCs w:val="21"/>
          <w:highlight w:val="none"/>
        </w:rPr>
        <w:t xml:space="preserve">%的，终止合同。</w:t>
      </w:r>
      <w:r/>
    </w:p>
    <w:p>
      <w:pPr>
        <w:numPr>
          <w:ilvl w:val="0"/>
          <w:numId w:val="29"/>
        </w:numPr>
        <w:contextualSpacing/>
        <w:ind w:left="567" w:hanging="567"/>
        <w:spacing w:line="400" w:lineRule="exact"/>
        <w:shd w:val="clear" w:color="auto"/>
        <w:tabs>
          <w:tab w:val="left" w:pos="567" w:leader="none"/>
        </w:tabs>
        <w:rPr>
          <w:rFonts w:hint="eastAsia" w:ascii="宋体" w:hAnsi="宋体" w:cs="Arial"/>
          <w:bCs/>
          <w:color w:val="auto"/>
          <w:szCs w:val="21"/>
          <w:highlight w:val="none"/>
        </w:rPr>
      </w:pPr>
      <w:r>
        <w:rPr>
          <w:rFonts w:ascii="宋体" w:hAnsi="宋体" w:cs="Arial"/>
          <w:bCs/>
          <w:color w:val="auto"/>
          <w:szCs w:val="21"/>
          <w:highlight w:val="none"/>
        </w:rPr>
        <w:t xml:space="preserve">严禁出现数据弄虚造假行为，</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不得以任何形式收受利益单位贿赂或在</w:t>
      </w:r>
      <w:r>
        <w:rPr>
          <w:rFonts w:hint="eastAsia" w:ascii="宋体" w:hAnsi="宋体" w:cs="Arial"/>
          <w:bCs/>
          <w:color w:val="auto"/>
          <w:szCs w:val="21"/>
          <w:highlight w:val="none"/>
        </w:rPr>
        <w:t xml:space="preserve">质控检查</w:t>
      </w:r>
      <w:r>
        <w:rPr>
          <w:rFonts w:ascii="宋体" w:hAnsi="宋体" w:cs="Arial"/>
          <w:bCs/>
          <w:color w:val="auto"/>
          <w:szCs w:val="21"/>
          <w:highlight w:val="none"/>
        </w:rPr>
        <w:t xml:space="preserve">任务全过程中弄虚作假，一经发现并查实，严格执行环保部关于印发《环境监测数据弄虚作假行为判定及处理办法》，立即终止合同，由此产生的一切责任全部由</w:t>
      </w:r>
      <w:r>
        <w:rPr>
          <w:rFonts w:hint="eastAsia" w:ascii="宋体" w:hAnsi="宋体" w:cs="Arial"/>
          <w:bCs/>
          <w:color w:val="auto"/>
          <w:szCs w:val="21"/>
          <w:highlight w:val="none"/>
        </w:rPr>
        <w:t xml:space="preserve">响应单位</w:t>
      </w:r>
      <w:r>
        <w:rPr>
          <w:rFonts w:ascii="宋体" w:hAnsi="宋体" w:cs="Arial"/>
          <w:bCs/>
          <w:color w:val="auto"/>
          <w:szCs w:val="21"/>
          <w:highlight w:val="none"/>
        </w:rPr>
        <w:t xml:space="preserve">承担，并将被列入黑名单。</w:t>
      </w:r>
      <w:r/>
    </w:p>
    <w:p>
      <w:pPr>
        <w:numPr>
          <w:ilvl w:val="0"/>
          <w:numId w:val="25"/>
        </w:numPr>
        <w:ind w:left="567" w:hanging="567"/>
        <w:spacing w:line="400" w:lineRule="exact"/>
        <w:shd w:val="clear" w:color="auto"/>
        <w:tabs>
          <w:tab w:val="left" w:pos="567" w:leader="none"/>
        </w:tabs>
        <w:rPr>
          <w:rFonts w:hint="eastAsia" w:ascii="宋体" w:hAnsi="宋体" w:cs="Arial"/>
          <w:b/>
          <w:color w:val="auto"/>
          <w:szCs w:val="21"/>
          <w:highlight w:val="none"/>
        </w:rPr>
      </w:pPr>
      <w:r>
        <w:rPr>
          <w:rFonts w:hint="eastAsia" w:ascii="宋体" w:hAnsi="宋体" w:cs="Arial"/>
          <w:b/>
          <w:color w:val="auto"/>
          <w:szCs w:val="21"/>
          <w:highlight w:val="none"/>
        </w:rPr>
        <w:t xml:space="preserve">其他</w:t>
      </w:r>
      <w:r/>
    </w:p>
    <w:p>
      <w:pPr>
        <w:numPr>
          <w:ilvl w:val="0"/>
          <w:numId w:val="30"/>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的报价和工作范围将被认为满足本项目招标文件中所要求的服务所需的全部费用和内容，若有漏项均由</w:t>
      </w: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承担。</w:t>
      </w:r>
      <w:r/>
    </w:p>
    <w:p>
      <w:pPr>
        <w:numPr>
          <w:ilvl w:val="0"/>
          <w:numId w:val="30"/>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cs="Arial"/>
          <w:color w:val="auto"/>
          <w:szCs w:val="21"/>
          <w:highlight w:val="none"/>
        </w:rPr>
        <w:t xml:space="preserve">对于采购人提出的采购需求范围内的要求，</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有义务积极配合，且不得要求增加费用；如采购人提出采购</w:t>
      </w:r>
      <w:r>
        <w:rPr>
          <w:rFonts w:hint="eastAsia" w:ascii="宋体" w:hAnsi="宋体" w:cs="Arial"/>
          <w:color w:val="auto"/>
          <w:szCs w:val="21"/>
          <w:highlight w:val="none"/>
        </w:rPr>
        <w:t xml:space="preserve">需求</w:t>
      </w:r>
      <w:r>
        <w:rPr>
          <w:rFonts w:ascii="宋体" w:hAnsi="宋体" w:cs="Arial"/>
          <w:color w:val="auto"/>
          <w:szCs w:val="21"/>
          <w:highlight w:val="none"/>
        </w:rPr>
        <w:t xml:space="preserve">外的要求或采购内容，</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应予以配合，双方按照《中华人民共和国</w:t>
      </w:r>
      <w:r>
        <w:rPr>
          <w:rFonts w:hint="eastAsia" w:ascii="宋体" w:hAnsi="宋体" w:cs="Arial"/>
          <w:color w:val="auto"/>
          <w:szCs w:val="21"/>
          <w:highlight w:val="none"/>
        </w:rPr>
        <w:t xml:space="preserve">民法典</w:t>
      </w:r>
      <w:r>
        <w:rPr>
          <w:rFonts w:ascii="宋体" w:hAnsi="宋体" w:cs="Arial"/>
          <w:color w:val="auto"/>
          <w:szCs w:val="21"/>
          <w:highlight w:val="none"/>
        </w:rPr>
        <w:t xml:space="preserve">》、《中华人民共和国政府采购法》及相关法规的要求签署补充协议。</w:t>
      </w:r>
      <w:r/>
    </w:p>
    <w:p>
      <w:pPr>
        <w:numPr>
          <w:ilvl w:val="0"/>
          <w:numId w:val="30"/>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hint="eastAsia" w:ascii="宋体" w:hAnsi="宋体" w:cs="Arial"/>
          <w:color w:val="auto"/>
          <w:szCs w:val="21"/>
          <w:highlight w:val="none"/>
        </w:rPr>
        <w:t xml:space="preserve">因遭遇恶劣天气等突发客观情况等非主观原因造成的无法完成质控检查任务，以及根据实际情况做出临时调整的，必须事先向采购人反映，保存好相关记录备查。</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bookmarkStart w:id="21" w:name="_Toc449476281"/>
      <w:r/>
      <w:bookmarkStart w:id="22" w:name="_Toc448216029"/>
      <w:r/>
      <w:bookmarkStart w:id="23" w:name="_Toc528170094"/>
      <w:r/>
      <w:bookmarkStart w:id="24" w:name="_Toc489445816"/>
      <w:r>
        <w:rPr>
          <w:rFonts w:hint="eastAsia" w:ascii="宋体" w:hAnsi="宋体" w:cs="Arial"/>
          <w:color w:val="auto"/>
          <w:szCs w:val="21"/>
          <w:highlight w:val="none"/>
        </w:rPr>
        <w:t xml:space="preserve">数据归属及保密</w:t>
      </w:r>
      <w:bookmarkEnd w:id="21"/>
      <w:r/>
      <w:bookmarkEnd w:id="22"/>
      <w:r/>
      <w:bookmarkEnd w:id="23"/>
      <w:r/>
      <w:bookmarkEnd w:id="24"/>
      <w:r/>
      <w:r/>
    </w:p>
    <w:p>
      <w:pPr>
        <w:contextualSpacing/>
        <w:ind w:firstLine="567"/>
        <w:spacing w:line="400" w:lineRule="exact"/>
        <w:shd w:val="clear" w:color="auto"/>
        <w:rPr>
          <w:rFonts w:hint="eastAsia" w:ascii="宋体" w:hAnsi="宋体" w:cs="Arial"/>
          <w:color w:val="auto"/>
          <w:szCs w:val="21"/>
          <w:highlight w:val="none"/>
        </w:rPr>
      </w:pPr>
      <w:r>
        <w:rPr>
          <w:rFonts w:ascii="宋体" w:hAnsi="宋体" w:cs="Arial"/>
          <w:color w:val="auto"/>
          <w:szCs w:val="21"/>
          <w:highlight w:val="none"/>
        </w:rPr>
        <w:t xml:space="preserve">本项目所形成的</w:t>
      </w:r>
      <w:r>
        <w:rPr>
          <w:rFonts w:hint="eastAsia" w:ascii="宋体" w:hAnsi="宋体" w:cs="Arial"/>
          <w:color w:val="auto"/>
          <w:szCs w:val="21"/>
          <w:highlight w:val="none"/>
        </w:rPr>
        <w:t xml:space="preserve">所有质控检查形成的</w:t>
      </w:r>
      <w:r>
        <w:rPr>
          <w:rFonts w:ascii="宋体" w:hAnsi="宋体" w:cs="Arial"/>
          <w:color w:val="auto"/>
          <w:szCs w:val="21"/>
          <w:highlight w:val="none"/>
        </w:rPr>
        <w:t xml:space="preserve">数据及报告归采购人所有。未经</w:t>
      </w:r>
      <w:r>
        <w:rPr>
          <w:rFonts w:hint="eastAsia" w:ascii="宋体" w:hAnsi="宋体" w:cs="Arial"/>
          <w:color w:val="auto"/>
          <w:szCs w:val="21"/>
          <w:highlight w:val="none"/>
        </w:rPr>
        <w:t xml:space="preserve">采购人</w:t>
      </w:r>
      <w:r>
        <w:rPr>
          <w:rFonts w:ascii="宋体" w:hAnsi="宋体" w:cs="Arial"/>
          <w:color w:val="auto"/>
          <w:szCs w:val="21"/>
          <w:highlight w:val="none"/>
        </w:rPr>
        <w:t xml:space="preserve">授权，</w:t>
      </w:r>
      <w:r>
        <w:rPr>
          <w:rFonts w:hint="eastAsia" w:ascii="宋体" w:hAnsi="宋体" w:cs="Arial"/>
          <w:color w:val="auto"/>
          <w:szCs w:val="21"/>
          <w:highlight w:val="none"/>
        </w:rPr>
        <w:t xml:space="preserve">成交供应商无权使用任何质控检查结果或</w:t>
      </w:r>
      <w:r>
        <w:rPr>
          <w:rFonts w:ascii="宋体" w:hAnsi="宋体" w:cs="Arial"/>
          <w:color w:val="auto"/>
          <w:szCs w:val="21"/>
          <w:highlight w:val="none"/>
        </w:rPr>
        <w:t xml:space="preserve">将</w:t>
      </w:r>
      <w:r>
        <w:rPr>
          <w:rFonts w:hint="eastAsia" w:ascii="宋体" w:hAnsi="宋体" w:cs="Arial"/>
          <w:color w:val="auto"/>
          <w:szCs w:val="21"/>
          <w:highlight w:val="none"/>
        </w:rPr>
        <w:t xml:space="preserve">质控检查结果</w:t>
      </w:r>
      <w:r>
        <w:rPr>
          <w:rFonts w:ascii="宋体" w:hAnsi="宋体" w:cs="Arial"/>
          <w:color w:val="auto"/>
          <w:szCs w:val="21"/>
          <w:highlight w:val="none"/>
        </w:rPr>
        <w:t xml:space="preserve">发送给任何第三方。报告发送和保管人员应遵守《保密程序》的相关规定，为采购人保密。</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bookmarkStart w:id="25" w:name="_Toc448216030"/>
      <w:r/>
      <w:bookmarkStart w:id="26" w:name="_Toc528170095"/>
      <w:r/>
      <w:bookmarkStart w:id="27" w:name="_Toc489445817"/>
      <w:r/>
      <w:bookmarkStart w:id="28" w:name="_Toc449476282"/>
      <w:r>
        <w:rPr>
          <w:rFonts w:ascii="宋体" w:hAnsi="宋体" w:cs="Arial"/>
          <w:color w:val="auto"/>
          <w:szCs w:val="21"/>
          <w:highlight w:val="none"/>
        </w:rPr>
        <w:t xml:space="preserve">考核方法与付费原则</w:t>
      </w:r>
      <w:bookmarkEnd w:id="25"/>
      <w:r/>
      <w:bookmarkEnd w:id="26"/>
      <w:r/>
      <w:bookmarkEnd w:id="27"/>
      <w:r/>
      <w:bookmarkEnd w:id="28"/>
      <w:r/>
      <w:r/>
    </w:p>
    <w:p>
      <w:pPr>
        <w:ind w:left="567" w:hanging="567"/>
        <w:spacing w:line="400" w:lineRule="exact"/>
        <w:shd w:val="clear" w:color="auto"/>
        <w:tabs>
          <w:tab w:val="left" w:pos="567" w:leader="none"/>
        </w:tabs>
        <w:rPr>
          <w:rFonts w:hint="eastAsia" w:ascii="宋体" w:hAnsi="宋体" w:cs="Arial"/>
          <w:b/>
          <w:color w:val="auto"/>
          <w:szCs w:val="21"/>
          <w:highlight w:val="none"/>
        </w:rPr>
      </w:pPr>
      <w:r>
        <w:rPr>
          <w:rFonts w:hint="eastAsia" w:ascii="宋体" w:hAnsi="宋体" w:cs="Arial"/>
          <w:b/>
          <w:color w:val="auto"/>
          <w:szCs w:val="21"/>
          <w:highlight w:val="none"/>
        </w:rPr>
        <w:t xml:space="preserve">1.</w:t>
      </w:r>
      <w:r>
        <w:rPr>
          <w:rFonts w:ascii="宋体" w:hAnsi="宋体" w:cs="Arial"/>
          <w:b/>
          <w:color w:val="auto"/>
          <w:szCs w:val="21"/>
          <w:highlight w:val="none"/>
        </w:rPr>
        <w:t xml:space="preserve">考核方法</w:t>
      </w:r>
      <w:r/>
    </w:p>
    <w:p>
      <w:pPr>
        <w:contextualSpacing/>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按半年度一次</w:t>
      </w:r>
      <w:r>
        <w:rPr>
          <w:rFonts w:ascii="宋体" w:hAnsi="宋体" w:cs="Arial"/>
          <w:color w:val="auto"/>
          <w:szCs w:val="21"/>
          <w:highlight w:val="none"/>
        </w:rPr>
        <w:t xml:space="preserve">对每个水质自动站（点位）单独考核，考核内容包括</w:t>
      </w:r>
      <w:r>
        <w:rPr>
          <w:rFonts w:hint="eastAsia" w:ascii="宋体" w:hAnsi="宋体" w:cs="Arial"/>
          <w:color w:val="auto"/>
          <w:szCs w:val="21"/>
          <w:highlight w:val="none"/>
        </w:rPr>
        <w:t xml:space="preserve">采购人</w:t>
      </w:r>
      <w:r>
        <w:rPr>
          <w:rFonts w:ascii="宋体" w:hAnsi="宋体" w:cs="Arial"/>
          <w:color w:val="auto"/>
          <w:szCs w:val="21"/>
          <w:highlight w:val="none"/>
        </w:rPr>
        <w:t xml:space="preserve">对</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每月提供的</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结果的评价，以及</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报送的各类记录</w:t>
      </w:r>
      <w:r>
        <w:rPr>
          <w:rFonts w:hint="eastAsia" w:ascii="宋体" w:hAnsi="宋体" w:cs="Arial"/>
          <w:color w:val="auto"/>
          <w:szCs w:val="21"/>
          <w:highlight w:val="none"/>
        </w:rPr>
        <w:t xml:space="preserve">、</w:t>
      </w:r>
      <w:r>
        <w:rPr>
          <w:rFonts w:ascii="宋体" w:hAnsi="宋体" w:cs="Arial"/>
          <w:color w:val="auto"/>
          <w:szCs w:val="21"/>
          <w:highlight w:val="none"/>
        </w:rPr>
        <w:t xml:space="preserve">报告</w:t>
      </w:r>
      <w:r>
        <w:rPr>
          <w:rFonts w:hint="eastAsia" w:ascii="宋体" w:hAnsi="宋体" w:cs="Arial"/>
          <w:color w:val="auto"/>
          <w:szCs w:val="21"/>
          <w:highlight w:val="none"/>
        </w:rPr>
        <w:t xml:space="preserve">等</w:t>
      </w:r>
      <w:r>
        <w:rPr>
          <w:rFonts w:ascii="宋体" w:hAnsi="宋体" w:cs="Arial"/>
          <w:color w:val="auto"/>
          <w:szCs w:val="21"/>
          <w:highlight w:val="none"/>
        </w:rPr>
        <w:t xml:space="preserve">支撑材料的质量。</w:t>
      </w:r>
      <w:r/>
    </w:p>
    <w:p>
      <w:pPr>
        <w:ind w:left="567" w:hanging="567"/>
        <w:spacing w:line="400" w:lineRule="exact"/>
        <w:shd w:val="clear" w:color="auto"/>
        <w:tabs>
          <w:tab w:val="left" w:pos="567" w:leader="none"/>
        </w:tabs>
        <w:rPr>
          <w:rFonts w:hint="eastAsia" w:ascii="宋体" w:hAnsi="宋体"/>
          <w:b/>
          <w:bCs/>
          <w:iCs/>
          <w:color w:val="auto"/>
          <w:szCs w:val="21"/>
          <w:highlight w:val="none"/>
        </w:rPr>
      </w:pPr>
      <w:r>
        <w:rPr>
          <w:rFonts w:hint="eastAsia" w:ascii="宋体" w:hAnsi="宋体"/>
          <w:b/>
          <w:bCs/>
          <w:iCs/>
          <w:color w:val="auto"/>
          <w:szCs w:val="21"/>
          <w:highlight w:val="none"/>
        </w:rPr>
        <w:t xml:space="preserve">2.</w:t>
      </w:r>
      <w:r>
        <w:rPr>
          <w:rFonts w:ascii="宋体" w:hAnsi="宋体"/>
          <w:b/>
          <w:bCs/>
          <w:iCs/>
          <w:color w:val="auto"/>
          <w:szCs w:val="21"/>
          <w:highlight w:val="none"/>
        </w:rPr>
        <w:t xml:space="preserve">评价原则</w:t>
      </w:r>
      <w:r/>
    </w:p>
    <w:p>
      <w:pPr>
        <w:numPr>
          <w:ilvl w:val="0"/>
          <w:numId w:val="31"/>
        </w:numPr>
        <w:contextualSpacing/>
        <w:ind w:left="567" w:hanging="567"/>
        <w:spacing w:line="400" w:lineRule="exact"/>
        <w:shd w:val="clear" w:color="auto"/>
        <w:tabs>
          <w:tab w:val="left" w:pos="567" w:leader="none"/>
        </w:tabs>
        <w:rPr>
          <w:rFonts w:hint="eastAsia" w:ascii="宋体" w:hAnsi="宋体" w:cs="Arial"/>
          <w:color w:val="auto"/>
          <w:szCs w:val="21"/>
          <w:highlight w:val="none"/>
        </w:rPr>
      </w:pPr>
      <w:r>
        <w:rPr>
          <w:rFonts w:ascii="宋体" w:hAnsi="宋体" w:cs="Arial"/>
          <w:color w:val="auto"/>
          <w:szCs w:val="21"/>
          <w:highlight w:val="none"/>
        </w:rPr>
        <w:t xml:space="preserve">考核结果与付费</w:t>
      </w:r>
      <w:r/>
    </w:p>
    <w:p>
      <w:pPr>
        <w:contextualSpacing/>
        <w:ind w:left="567"/>
        <w:spacing w:line="400" w:lineRule="exact"/>
        <w:shd w:val="clear" w:color="auto"/>
        <w:tabs>
          <w:tab w:val="left" w:pos="993" w:leader="none"/>
        </w:tabs>
        <w:rPr>
          <w:rFonts w:hint="eastAsia" w:ascii="宋体" w:hAnsi="宋体" w:cs="Arial"/>
          <w:color w:val="auto"/>
          <w:szCs w:val="21"/>
          <w:highlight w:val="none"/>
        </w:rPr>
      </w:pPr>
      <w:r>
        <w:rPr>
          <w:rFonts w:hint="eastAsia" w:ascii="宋体" w:hAnsi="宋体" w:cs="Arial"/>
          <w:color w:val="auto"/>
          <w:szCs w:val="21"/>
          <w:highlight w:val="none"/>
        </w:rPr>
        <w:t xml:space="preserve">按半年度进行考核，质控检查的所有正常运行的水质自动站为统计基础。付费步骤详见合同条款中具体支付步骤。</w:t>
      </w:r>
      <w:r/>
    </w:p>
    <w:p>
      <w:pPr>
        <w:numPr>
          <w:ilvl w:val="1"/>
          <w:numId w:val="32"/>
        </w:numPr>
        <w:contextualSpacing/>
        <w:ind w:left="854" w:hanging="287"/>
        <w:spacing w:line="400" w:lineRule="exact"/>
        <w:shd w:val="clear" w:color="auto"/>
        <w:tabs>
          <w:tab w:val="left" w:pos="840" w:leader="none"/>
        </w:tabs>
        <w:rPr>
          <w:rFonts w:hint="eastAsia" w:ascii="宋体" w:hAnsi="宋体" w:cs="Arial"/>
          <w:color w:val="auto"/>
          <w:szCs w:val="21"/>
          <w:highlight w:val="none"/>
        </w:rPr>
      </w:pPr>
      <w:r>
        <w:rPr>
          <w:rFonts w:hint="eastAsia" w:ascii="宋体" w:hAnsi="宋体" w:cs="Arial"/>
          <w:color w:val="auto"/>
          <w:szCs w:val="21"/>
          <w:highlight w:val="none"/>
        </w:rPr>
        <w:t xml:space="preserve">半年度内出现8个水质自动站未完成现场质控检查任务；</w:t>
      </w:r>
      <w:bookmarkStart w:id="29" w:name="_Hlk489308367"/>
      <w:r>
        <w:rPr>
          <w:rFonts w:hint="eastAsia" w:ascii="宋体" w:hAnsi="宋体" w:cs="Arial"/>
          <w:color w:val="auto"/>
          <w:szCs w:val="21"/>
          <w:highlight w:val="none"/>
        </w:rPr>
        <w:t xml:space="preserve">每月</w:t>
      </w:r>
      <w:bookmarkEnd w:id="29"/>
      <w:r>
        <w:rPr>
          <w:rFonts w:hint="eastAsia" w:ascii="宋体" w:hAnsi="宋体" w:cs="Arial"/>
          <w:color w:val="auto"/>
          <w:szCs w:val="21"/>
          <w:highlight w:val="none"/>
        </w:rPr>
        <w:t xml:space="preserve">采购人在6h内连续3次联系不上技术负责人或其指定的助理；出现1次未按时报送质控检查报告、盲样考核等报告；定点工作人员工作日内未经许可未至指定办公场所3次；满足以上四条中一条，即为初级警告，</w:t>
      </w:r>
      <w:r>
        <w:rPr>
          <w:rFonts w:hint="eastAsia" w:ascii="宋体" w:hAnsi="宋体" w:cs="Arial"/>
          <w:color w:val="auto"/>
          <w:szCs w:val="21"/>
          <w:highlight w:val="none"/>
        </w:rPr>
        <w:t xml:space="preserve">扣除合同总金额</w:t>
      </w:r>
      <w:r>
        <w:rPr>
          <w:rFonts w:hint="eastAsia" w:ascii="宋体" w:hAnsi="宋体" w:cs="Arial"/>
          <w:color w:val="auto"/>
          <w:szCs w:val="21"/>
          <w:highlight w:val="none"/>
        </w:rPr>
        <w:t xml:space="preserve">的10%，并责令整改；</w:t>
      </w:r>
      <w:r/>
    </w:p>
    <w:p>
      <w:pPr>
        <w:numPr>
          <w:ilvl w:val="1"/>
          <w:numId w:val="32"/>
        </w:numPr>
        <w:contextualSpacing/>
        <w:ind w:left="854" w:hanging="287"/>
        <w:spacing w:line="400" w:lineRule="exact"/>
        <w:shd w:val="clear" w:color="auto"/>
        <w:tabs>
          <w:tab w:val="left" w:pos="840" w:leader="none"/>
        </w:tabs>
        <w:rPr>
          <w:rFonts w:hint="eastAsia" w:ascii="宋体" w:hAnsi="宋体" w:cs="Arial"/>
          <w:color w:val="auto"/>
          <w:szCs w:val="21"/>
          <w:highlight w:val="none"/>
        </w:rPr>
      </w:pPr>
      <w:r>
        <w:rPr>
          <w:rFonts w:hint="eastAsia" w:ascii="宋体" w:hAnsi="宋体" w:cs="Arial"/>
          <w:color w:val="auto"/>
          <w:szCs w:val="21"/>
          <w:highlight w:val="none"/>
        </w:rPr>
        <w:t xml:space="preserve">半年内出现16个水质自动站未完成现场质控检查任务；每月采购人在6h内连续5次联系不上技术负责人或其指定的助理；出现2次未按时报送质控检查报告、盲样考核等报告；定点工作人员工作日内未经许可未至指定办公场所6次；满足以上四条中一条，即为二级警告，扣除合同总金额的30%，并责令整改；</w:t>
      </w:r>
      <w:r/>
    </w:p>
    <w:p>
      <w:pPr>
        <w:numPr>
          <w:ilvl w:val="1"/>
          <w:numId w:val="32"/>
        </w:numPr>
        <w:contextualSpacing/>
        <w:ind w:left="854" w:hanging="287"/>
        <w:spacing w:line="400" w:lineRule="exact"/>
        <w:shd w:val="clear" w:color="auto"/>
        <w:tabs>
          <w:tab w:val="left" w:pos="840" w:leader="none"/>
        </w:tabs>
        <w:rPr>
          <w:rFonts w:hint="eastAsia" w:ascii="宋体" w:hAnsi="宋体" w:cs="宋体"/>
          <w:color w:val="auto"/>
          <w:szCs w:val="21"/>
          <w:highlight w:val="none"/>
        </w:rPr>
      </w:pPr>
      <w:r>
        <w:rPr>
          <w:rFonts w:hint="eastAsia" w:ascii="宋体" w:hAnsi="宋体" w:cs="Arial"/>
          <w:color w:val="auto"/>
          <w:szCs w:val="21"/>
          <w:highlight w:val="none"/>
        </w:rPr>
        <w:t xml:space="preserve">半年内出现27个水质自动站未完成现场质控检查任务；每月采购人在6h内连续10次联系不上技术负责人或其指定的助理；出现3次未按时报送质控检查报告、盲样考核等报告；定点工作人员</w:t>
      </w:r>
      <w:r>
        <w:rPr>
          <w:rFonts w:ascii="宋体" w:hAnsi="宋体" w:cs="Arial"/>
          <w:color w:val="auto"/>
          <w:szCs w:val="21"/>
          <w:highlight w:val="none"/>
        </w:rPr>
        <w:t xml:space="preserve">工作日内</w:t>
      </w:r>
      <w:r>
        <w:rPr>
          <w:rFonts w:hint="eastAsia" w:ascii="宋体" w:hAnsi="宋体" w:cs="Arial"/>
          <w:color w:val="auto"/>
          <w:szCs w:val="21"/>
          <w:highlight w:val="none"/>
        </w:rPr>
        <w:t xml:space="preserve">未经</w:t>
      </w:r>
      <w:r>
        <w:rPr>
          <w:rFonts w:ascii="宋体" w:hAnsi="宋体" w:cs="Arial"/>
          <w:color w:val="auto"/>
          <w:szCs w:val="21"/>
          <w:highlight w:val="none"/>
        </w:rPr>
        <w:t xml:space="preserve">许可未至</w:t>
      </w:r>
      <w:r>
        <w:rPr>
          <w:rFonts w:hint="eastAsia" w:ascii="宋体" w:hAnsi="宋体" w:cs="Arial"/>
          <w:color w:val="auto"/>
          <w:szCs w:val="21"/>
          <w:highlight w:val="none"/>
        </w:rPr>
        <w:t xml:space="preserve">指定</w:t>
      </w:r>
      <w:r>
        <w:rPr>
          <w:rFonts w:ascii="宋体" w:hAnsi="宋体" w:cs="Arial"/>
          <w:color w:val="auto"/>
          <w:szCs w:val="21"/>
          <w:highlight w:val="none"/>
        </w:rPr>
        <w:t xml:space="preserve">办</w:t>
      </w:r>
      <w:r>
        <w:rPr>
          <w:rFonts w:hint="eastAsia" w:ascii="宋体" w:hAnsi="宋体" w:cs="宋体"/>
          <w:color w:val="auto"/>
          <w:szCs w:val="21"/>
          <w:highlight w:val="none"/>
        </w:rPr>
        <w:t xml:space="preserve">公场所10次；满足以上四条中一条，采购人有权单方解除合同，</w:t>
      </w:r>
      <w:r>
        <w:rPr>
          <w:rFonts w:hint="eastAsia" w:ascii="宋体" w:hAnsi="宋体" w:cs="Arial"/>
          <w:color w:val="auto"/>
          <w:szCs w:val="21"/>
          <w:highlight w:val="none"/>
        </w:rPr>
        <w:t xml:space="preserve">扣除合同总金额的50%，</w:t>
      </w:r>
      <w:r>
        <w:rPr>
          <w:rFonts w:hint="eastAsia" w:ascii="宋体" w:hAnsi="宋体" w:cs="宋体"/>
          <w:color w:val="auto"/>
          <w:szCs w:val="21"/>
          <w:highlight w:val="none"/>
        </w:rPr>
        <w:t xml:space="preserve">并要求供应商支付合同价款20%的违约金。</w:t>
      </w:r>
      <w:r/>
    </w:p>
    <w:p>
      <w:pPr>
        <w:numPr>
          <w:ilvl w:val="0"/>
          <w:numId w:val="31"/>
        </w:numPr>
        <w:contextualSpacing/>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如果成交供应商关键岗位人员或队伍发生重大变更，无法按质开展质控检查任务，或者发生重大责任事故的，采购人有权单方解除合同，并要求供应商支付合同价款20%的违约金。</w:t>
      </w:r>
      <w:r/>
    </w:p>
    <w:p>
      <w:pPr>
        <w:numPr>
          <w:ilvl w:val="0"/>
          <w:numId w:val="31"/>
        </w:numPr>
        <w:contextualSpacing/>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成交供应商无论因为何种原因，到达点位现场，但是没有完成质控检查任务的，扣除该水质自动站当次费用的三分之二。</w:t>
      </w:r>
      <w:r/>
    </w:p>
    <w:p>
      <w:pPr>
        <w:numPr>
          <w:ilvl w:val="0"/>
          <w:numId w:val="31"/>
        </w:numPr>
        <w:contextualSpacing/>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成交供应商质控检查过程出现不符合技术要求的行为被质疑成功，或有非本项目人员开展质控检查任务的，发现以上行为，每5次扣除当年费用的10%，并责令整改。</w:t>
      </w:r>
      <w:r/>
    </w:p>
    <w:p>
      <w:pPr>
        <w:numPr>
          <w:ilvl w:val="0"/>
          <w:numId w:val="31"/>
        </w:numPr>
        <w:contextualSpacing/>
        <w:ind w:left="567" w:hanging="567"/>
        <w:spacing w:line="400" w:lineRule="exact"/>
        <w:shd w:val="clear" w:color="auto"/>
        <w:tabs>
          <w:tab w:val="left" w:pos="567" w:leader="none"/>
        </w:tabs>
        <w:rPr>
          <w:rFonts w:hint="eastAsia" w:ascii="宋体" w:hAnsi="宋体" w:cs="宋体"/>
          <w:color w:val="auto"/>
          <w:szCs w:val="21"/>
          <w:highlight w:val="none"/>
        </w:rPr>
      </w:pPr>
      <w:r/>
      <w:bookmarkStart w:id="30" w:name="_Hlk49526171"/>
      <w:r>
        <w:rPr>
          <w:rFonts w:hint="eastAsia" w:ascii="宋体" w:hAnsi="宋体" w:cs="宋体"/>
          <w:color w:val="auto"/>
          <w:szCs w:val="21"/>
          <w:highlight w:val="none"/>
        </w:rPr>
        <w:t xml:space="preserve">省控水站质控点位根据</w:t>
      </w:r>
      <w:r>
        <w:rPr>
          <w:rFonts w:hint="eastAsia" w:ascii="宋体" w:hAnsi="宋体" w:cs="宋体"/>
          <w:bCs/>
          <w:color w:val="auto"/>
          <w:szCs w:val="21"/>
          <w:highlight w:val="none"/>
        </w:rPr>
        <w:t xml:space="preserve">优化监测点位和站</w:t>
      </w:r>
      <w:r>
        <w:rPr>
          <w:rFonts w:hint="eastAsia" w:ascii="宋体" w:hAnsi="宋体" w:cs="宋体"/>
          <w:color w:val="auto"/>
          <w:szCs w:val="21"/>
          <w:highlight w:val="none"/>
        </w:rPr>
        <w:t xml:space="preserve">点改造的需要，可能会作相应调整，结算规则是按月计提，按成交价折算至每月每站。</w:t>
      </w:r>
      <w:bookmarkEnd w:id="30"/>
      <w:r/>
      <w:r/>
    </w:p>
    <w:p>
      <w:pPr>
        <w:numPr>
          <w:ilvl w:val="0"/>
          <w:numId w:val="31"/>
        </w:numPr>
        <w:contextualSpacing/>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如遇下拨经费额度发生变化时，按照财政最终下拨金额按比例支付。</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宋体"/>
          <w:color w:val="auto"/>
          <w:szCs w:val="21"/>
          <w:highlight w:val="none"/>
        </w:rPr>
        <w:outlineLvl w:val="1"/>
      </w:pPr>
      <w:r/>
      <w:bookmarkStart w:id="31" w:name="_Toc528170096"/>
      <w:r/>
      <w:bookmarkStart w:id="32" w:name="_Toc449476283"/>
      <w:r/>
      <w:bookmarkStart w:id="33" w:name="_Toc489445818"/>
      <w:r/>
      <w:bookmarkStart w:id="34" w:name="_Toc448216032"/>
      <w:r>
        <w:rPr>
          <w:rFonts w:hint="eastAsia" w:ascii="宋体" w:hAnsi="宋体" w:cs="宋体"/>
          <w:color w:val="auto"/>
          <w:szCs w:val="21"/>
          <w:highlight w:val="none"/>
        </w:rPr>
        <w:t xml:space="preserve">相关技术规范、标准</w:t>
      </w:r>
      <w:bookmarkEnd w:id="31"/>
      <w:r/>
      <w:bookmarkEnd w:id="32"/>
      <w:r/>
      <w:bookmarkEnd w:id="33"/>
      <w:r/>
      <w:bookmarkEnd w:id="34"/>
      <w:r>
        <w:rPr>
          <w:rFonts w:hint="eastAsia" w:ascii="宋体" w:hAnsi="宋体" w:cs="宋体"/>
          <w:color w:val="auto"/>
          <w:szCs w:val="21"/>
          <w:highlight w:val="none"/>
        </w:rPr>
        <w:t xml:space="preserve">及文件</w:t>
      </w:r>
      <w:r/>
    </w:p>
    <w:p>
      <w:pPr>
        <w:ind w:firstLine="630"/>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《地表水自动监测技术规范》（试行）（HJ 915-2024）</w:t>
      </w:r>
      <w:r/>
    </w:p>
    <w:p>
      <w:pPr>
        <w:ind w:firstLine="630"/>
        <w:spacing w:line="400" w:lineRule="exact"/>
        <w:shd w:val="clear" w:color="auto"/>
        <w:rPr>
          <w:rFonts w:hint="eastAsia" w:ascii="宋体" w:hAnsi="宋体" w:cs="Arial"/>
          <w:color w:val="auto"/>
          <w:szCs w:val="21"/>
          <w:highlight w:val="none"/>
        </w:rPr>
      </w:pPr>
      <w:r>
        <w:rPr>
          <w:rFonts w:hint="eastAsia" w:ascii="宋体" w:hAnsi="宋体" w:cs="宋体"/>
          <w:color w:val="auto"/>
          <w:szCs w:val="21"/>
          <w:highlight w:val="none"/>
        </w:rPr>
        <w:t xml:space="preserve">《地表水环境质量监测技术规范》</w:t>
      </w:r>
      <w:r>
        <w:rPr>
          <w:rFonts w:hint="eastAsia" w:ascii="宋体" w:hAnsi="宋体" w:cs="Arial"/>
          <w:color w:val="auto"/>
          <w:szCs w:val="21"/>
          <w:highlight w:val="none"/>
        </w:rPr>
        <w:t xml:space="preserve">（HJ 91.2-2022）</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《环境监测数据弄虚作假行为判定及处理办法》环发[2015]175号</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《数值修约规则与极限数值的表示和判定》</w:t>
      </w:r>
      <w:r>
        <w:rPr>
          <w:rFonts w:hint="eastAsia" w:ascii="宋体" w:hAnsi="宋体" w:cs="Arial"/>
          <w:color w:val="auto"/>
          <w:szCs w:val="21"/>
          <w:highlight w:val="none"/>
        </w:rPr>
        <w:t xml:space="preserve">（GB/T 8170-2008）</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《江苏省地表水自动监测站运行管理办法（试行）》苏环办[2020]174号</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《地表水自动监测数据处理方法及修约规则（试行）》（总站水字[2020]90号）</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《江苏省水质自动监测质量管理暂行规定》</w:t>
      </w:r>
      <w:r/>
    </w:p>
    <w:p>
      <w:pPr>
        <w:ind w:firstLine="630"/>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如有最新的技术规范、标准及文件，则根据采购人要求执行。</w:t>
      </w:r>
      <w:r/>
    </w:p>
    <w:p>
      <w:pPr>
        <w:pStyle w:val="1269"/>
        <w:numPr>
          <w:ilvl w:val="0"/>
          <w:numId w:val="18"/>
        </w:numPr>
        <w:contextualSpacing/>
        <w:ind w:left="777" w:hanging="567"/>
        <w:spacing w:line="400" w:lineRule="exact"/>
        <w:shd w:val="clear" w:color="auto"/>
        <w:tabs>
          <w:tab w:val="left" w:pos="567" w:leader="none"/>
        </w:tabs>
        <w:rPr>
          <w:rFonts w:hint="eastAsia" w:ascii="宋体" w:hAnsi="宋体" w:cs="Arial"/>
          <w:color w:val="auto"/>
          <w:szCs w:val="21"/>
          <w:highlight w:val="none"/>
        </w:rPr>
        <w:outlineLvl w:val="1"/>
      </w:pPr>
      <w:r>
        <w:rPr>
          <w:rFonts w:hint="eastAsia" w:ascii="宋体" w:hAnsi="宋体" w:cs="Arial"/>
          <w:color w:val="auto"/>
          <w:szCs w:val="21"/>
          <w:highlight w:val="none"/>
        </w:rPr>
        <w:t xml:space="preserve">其他综合说明</w:t>
      </w:r>
      <w:r/>
    </w:p>
    <w:p>
      <w:pPr>
        <w:numPr>
          <w:ilvl w:val="0"/>
          <w:numId w:val="33"/>
        </w:numPr>
        <w:ind w:left="567" w:hanging="567"/>
        <w:spacing w:line="400" w:lineRule="exact"/>
        <w:shd w:val="clear" w:color="auto"/>
        <w:tabs>
          <w:tab w:val="left" w:pos="567" w:leader="none"/>
        </w:tabs>
        <w:rPr>
          <w:rFonts w:hint="eastAsia" w:ascii="宋体" w:hAnsi="宋体"/>
          <w:b/>
          <w:color w:val="auto"/>
          <w:highlight w:val="none"/>
        </w:rPr>
      </w:pPr>
      <w:r>
        <w:rPr>
          <w:rFonts w:hint="eastAsia" w:ascii="宋体" w:hAnsi="宋体" w:cs="宋体"/>
          <w:b/>
          <w:color w:val="auto"/>
          <w:szCs w:val="21"/>
          <w:highlight w:val="none"/>
        </w:rPr>
        <w:t xml:space="preserve">响应单位及其员工未出现过《最高人民法院最高人民检察院关于办理环境污染刑事案件适用法律若干问题的解释》第十条相关行为，提供承诺函，否则视为无效响应。</w:t>
      </w:r>
      <w:r/>
    </w:p>
    <w:p>
      <w:pPr>
        <w:numPr>
          <w:ilvl w:val="0"/>
          <w:numId w:val="33"/>
        </w:numPr>
        <w:ind w:left="567" w:hanging="567"/>
        <w:spacing w:line="400" w:lineRule="exact"/>
        <w:shd w:val="clear" w:color="auto"/>
        <w:tabs>
          <w:tab w:val="left" w:pos="567" w:leader="none"/>
        </w:tabs>
        <w:rPr>
          <w:rFonts w:hint="eastAsia" w:ascii="宋体" w:hAnsi="宋体"/>
          <w:b/>
          <w:color w:val="auto"/>
          <w:highlight w:val="none"/>
        </w:rPr>
      </w:pPr>
      <w:r>
        <w:rPr>
          <w:rFonts w:ascii="宋体" w:hAnsi="宋体"/>
          <w:color w:val="auto"/>
          <w:highlight w:val="none"/>
        </w:rPr>
        <w:t xml:space="preserve">供应商必须说明其是否响应采购文件中提出的全部服务内容与要求，如果其中某些条款不响应时，</w:t>
      </w:r>
      <w:r>
        <w:rPr>
          <w:rFonts w:hint="eastAsia" w:ascii="宋体" w:hAnsi="宋体"/>
          <w:color w:val="auto"/>
          <w:highlight w:val="none"/>
        </w:rPr>
        <w:t xml:space="preserve">必须</w:t>
      </w:r>
      <w:r>
        <w:rPr>
          <w:rFonts w:ascii="宋体" w:hAnsi="宋体"/>
          <w:color w:val="auto"/>
          <w:highlight w:val="none"/>
        </w:rPr>
        <w:t xml:space="preserve">在文件中逐条列出。</w:t>
      </w:r>
      <w:r/>
    </w:p>
    <w:p>
      <w:pPr>
        <w:numPr>
          <w:ilvl w:val="0"/>
          <w:numId w:val="33"/>
        </w:numPr>
        <w:ind w:left="567" w:hanging="567"/>
        <w:spacing w:line="400" w:lineRule="exact"/>
        <w:shd w:val="clear" w:color="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供应商在本项目磋商响应过程中如有虚假承诺，则按提供虚假材料处理，取消其成交资格并按政府采购相关法律法规规定接受相应处罚，并承担由此对采购方造成的一切损失。</w:t>
      </w:r>
      <w:r/>
    </w:p>
    <w:p>
      <w:pPr>
        <w:numPr>
          <w:ilvl w:val="0"/>
          <w:numId w:val="33"/>
        </w:numPr>
        <w:ind w:left="567" w:hanging="567"/>
        <w:spacing w:line="400" w:lineRule="exact"/>
        <w:shd w:val="clear" w:color="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成交供应商在项目实施过程中，未经采购人批准，不得随意更换项目组成员。如果采购人认为技术服务人员不具备本次服务工作所需的技术能力，有权随时要求成交供应商对该成员进行更换。项目实施人员在服务期间内出现的工伤及其他意外</w:t>
      </w:r>
      <w:r>
        <w:rPr>
          <w:rFonts w:hint="eastAsia" w:ascii="宋体" w:hAnsi="宋体" w:cs="宋体"/>
          <w:color w:val="auto"/>
          <w:szCs w:val="21"/>
          <w:highlight w:val="none"/>
        </w:rPr>
        <w:t xml:space="preserve">事故，均由成交供应商自行负责，采购单位不承担任何责任。</w:t>
      </w:r>
      <w:r/>
    </w:p>
    <w:p>
      <w:pPr>
        <w:numPr>
          <w:ilvl w:val="0"/>
          <w:numId w:val="33"/>
        </w:numPr>
        <w:ind w:left="567" w:hanging="567"/>
        <w:spacing w:line="400" w:lineRule="exact"/>
        <w:shd w:val="clear" w:color="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响应供应商成交后提供服务均为按国家规格条例的合格正规服务、符合规范要求。</w:t>
      </w:r>
      <w:r/>
    </w:p>
    <w:p>
      <w:pPr>
        <w:numPr>
          <w:ilvl w:val="0"/>
          <w:numId w:val="33"/>
        </w:numPr>
        <w:ind w:left="567" w:hanging="567"/>
        <w:spacing w:line="400" w:lineRule="exact"/>
        <w:shd w:val="clear" w:color="auto"/>
        <w:tabs>
          <w:tab w:val="left" w:pos="567" w:leader="none"/>
        </w:tabs>
        <w:rPr>
          <w:rFonts w:hint="eastAsia" w:ascii="宋体" w:hAnsi="宋体"/>
          <w:color w:val="auto"/>
          <w:highlight w:val="none"/>
        </w:rPr>
      </w:pPr>
      <w:r>
        <w:rPr>
          <w:rFonts w:hint="eastAsia" w:ascii="宋体" w:hAnsi="宋体" w:cs="宋体"/>
          <w:color w:val="auto"/>
          <w:highlight w:val="none"/>
        </w:rPr>
        <w:t xml:space="preserve">响应供应商应能保证所提供服务涉及到的知识产权是合法取得，并享有完整的知识产权，不会因为需方的使用而被责令停止使用、追偿</w:t>
      </w:r>
      <w:r>
        <w:rPr>
          <w:rFonts w:hint="eastAsia" w:ascii="宋体" w:hAnsi="宋体"/>
          <w:color w:val="auto"/>
          <w:highlight w:val="none"/>
        </w:rPr>
        <w:t xml:space="preserve">或要求赔偿损失，如出现此情况，一切经济和法律责任均由供方承担。供方提供的所有服务必须质量符合国际或国家通用标准，如出现质量问题，供应商负责更正，发生的费用由供应商负责。</w:t>
      </w:r>
      <w:r/>
    </w:p>
    <w:p>
      <w:pPr>
        <w:numPr>
          <w:ilvl w:val="0"/>
          <w:numId w:val="17"/>
        </w:numPr>
        <w:ind w:left="525" w:hanging="525"/>
        <w:spacing w:line="400" w:lineRule="exact"/>
        <w:shd w:val="clear" w:color="auto"/>
        <w:tabs>
          <w:tab w:val="clear" w:pos="420" w:leader="none"/>
          <w:tab w:val="left" w:pos="525" w:leader="none"/>
          <w:tab w:val="left" w:pos="567" w:leader="none"/>
        </w:tabs>
        <w:rPr>
          <w:rFonts w:hint="eastAsia" w:ascii="宋体" w:hAnsi="宋体" w:cs="Arial"/>
          <w:color w:val="auto"/>
          <w:szCs w:val="21"/>
          <w:highlight w:val="none"/>
        </w:rPr>
      </w:pPr>
      <w:r>
        <w:rPr>
          <w:rFonts w:hint="eastAsia" w:ascii="宋体" w:hAnsi="宋体"/>
          <w:bCs/>
          <w:color w:val="auto"/>
          <w:szCs w:val="21"/>
          <w:highlight w:val="none"/>
        </w:rPr>
        <w:t xml:space="preserve">磋商</w:t>
      </w:r>
      <w:r>
        <w:rPr>
          <w:rFonts w:hint="eastAsia" w:ascii="宋体" w:hAnsi="宋体" w:cs="Arial"/>
          <w:color w:val="auto"/>
          <w:szCs w:val="21"/>
          <w:highlight w:val="none"/>
        </w:rPr>
        <w:t xml:space="preserve">响应文件的组成及要求：</w:t>
      </w:r>
      <w:r/>
    </w:p>
    <w:p>
      <w:pPr>
        <w:numPr>
          <w:ilvl w:val="0"/>
          <w:numId w:val="34"/>
        </w:numPr>
        <w:spacing w:line="400" w:lineRule="exact"/>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磋商分项报价明细表</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其他针对本次磋商的详细说明</w:t>
      </w:r>
      <w:r/>
    </w:p>
    <w:p>
      <w:pPr>
        <w:numPr>
          <w:ilvl w:val="0"/>
          <w:numId w:val="36"/>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无对应模块上传的响应文件内容可传至此，含“五、附件”中部分表格、内容。</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0"/>
          <w:numId w:val="3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磋商响应函；</w:t>
      </w:r>
      <w:r/>
    </w:p>
    <w:p>
      <w:pPr>
        <w:numPr>
          <w:ilvl w:val="0"/>
          <w:numId w:val="3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0"/>
          <w:numId w:val="3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0"/>
          <w:numId w:val="3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0"/>
          <w:numId w:val="3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具有履行合同所必须的设备和专业技术能力（企业法人性质的政府采购供应商应在经工商管理部门核准登记注册的经营范围内参与经营活动，提供营业执照或其他证明材料）；</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参加政府采购活动前</w:t>
      </w:r>
      <w:r>
        <w:rPr>
          <w:rFonts w:ascii="宋体" w:hAnsi="宋体"/>
          <w:color w:val="auto"/>
          <w:szCs w:val="21"/>
          <w:highlight w:val="none"/>
        </w:rPr>
        <w:t xml:space="preserve">3</w:t>
      </w:r>
      <w:r>
        <w:rPr>
          <w:rFonts w:hint="eastAsia" w:ascii="宋体" w:hAnsi="宋体"/>
          <w:color w:val="auto"/>
          <w:szCs w:val="21"/>
          <w:highlight w:val="none"/>
        </w:rPr>
        <w:t xml:space="preserve">年内在经营活动中没有重大违法记录（提供书面声明）；</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非项目所涉的省控地表水自动监测站运维服务供应商及其关联企业且不得在本项目实施期间再行从事本项目所涉运维服务，提供声明函；</w:t>
      </w:r>
      <w:r/>
    </w:p>
    <w:p>
      <w:pPr>
        <w:numPr>
          <w:ilvl w:val="0"/>
          <w:numId w:val="38"/>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供应商近三年内在各级环境自动监测质控技术服务项目中无弄虚作假的行为，未被相关环境管理部门通报，提供声明函。</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0"/>
          <w:numId w:val="3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服务要求偏离表；</w:t>
      </w:r>
      <w:r/>
    </w:p>
    <w:p>
      <w:pPr>
        <w:numPr>
          <w:ilvl w:val="0"/>
          <w:numId w:val="3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投标（响应）保证承诺书；</w:t>
      </w:r>
      <w:r/>
    </w:p>
    <w:p>
      <w:pPr>
        <w:numPr>
          <w:ilvl w:val="0"/>
          <w:numId w:val="3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0"/>
          <w:numId w:val="40"/>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项目具体实施方案；</w:t>
      </w:r>
      <w:r/>
    </w:p>
    <w:p>
      <w:pPr>
        <w:numPr>
          <w:ilvl w:val="0"/>
          <w:numId w:val="40"/>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履约期限、后续服务等响应承诺；</w:t>
      </w:r>
      <w:r/>
    </w:p>
    <w:p>
      <w:pPr>
        <w:numPr>
          <w:ilvl w:val="0"/>
          <w:numId w:val="40"/>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35"/>
        </w:numPr>
        <w:spacing w:line="400" w:lineRule="exact"/>
        <w:shd w:val="clear" w:color="auto"/>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0"/>
          <w:numId w:val="41"/>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shd w:val="clear" w:color="auto"/>
        <w:rPr>
          <w:rFonts w:ascii="宋体"/>
          <w:color w:val="auto"/>
          <w:szCs w:val="22"/>
          <w:highlight w:val="none"/>
        </w:rPr>
      </w:pPr>
      <w:r>
        <w:rPr>
          <w:rFonts w:hint="eastAsia" w:ascii="宋体" w:hAnsi="宋体"/>
          <w:color w:val="auto"/>
          <w:szCs w:val="22"/>
          <w:highlight w:val="none"/>
        </w:rPr>
        <w:t xml:space="preserve">注：响应单位成交后须提供一份与电子响应文件内容一致的纸质响应文件（装订成册）。</w:t>
      </w:r>
      <w:r/>
    </w:p>
    <w:p>
      <w:pPr>
        <w:numPr>
          <w:ilvl w:val="0"/>
          <w:numId w:val="34"/>
        </w:numPr>
        <w:spacing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4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4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电子响应文件制作</w:t>
      </w:r>
      <w:r/>
    </w:p>
    <w:p>
      <w:pPr>
        <w:numPr>
          <w:ilvl w:val="0"/>
          <w:numId w:val="43"/>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0"/>
          <w:numId w:val="43"/>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0"/>
          <w:numId w:val="43"/>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shd w:val="clear" w:color="auto"/>
        <w:widowControl/>
        <w:rPr>
          <w:rFonts w:hint="eastAsia"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4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4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17"/>
        </w:numPr>
        <w:ind w:left="525" w:hanging="525"/>
        <w:spacing w:line="400" w:lineRule="exact"/>
        <w:shd w:val="clear" w:color="auto"/>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竞争性磋商不分标段</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响应其中部分内容或只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ascii="宋体" w:hAnsi="宋体"/>
          <w:color w:val="auto"/>
          <w:szCs w:val="21"/>
          <w:highlight w:val="none"/>
        </w:rPr>
        <w:t xml:space="preserve">成交服务费：</w:t>
      </w:r>
      <w:r>
        <w:rPr>
          <w:rFonts w:hint="eastAsia" w:ascii="宋体" w:hAnsi="宋体"/>
          <w:color w:val="auto"/>
          <w:szCs w:val="21"/>
          <w:highlight w:val="none"/>
        </w:rPr>
        <w:t xml:space="preserve">按苏财购告【2016】31号规定的收费标准下浮10%收取，领取成交通知书时成交单位向采购代理机构一次性付清。</w:t>
      </w:r>
      <w:r>
        <w:rPr>
          <w:rFonts w:hint="eastAsia" w:ascii="宋体" w:hAnsi="宋体"/>
          <w:color w:val="auto"/>
          <w:szCs w:val="21"/>
          <w:highlight w:val="none"/>
        </w:rPr>
        <w:t xml:space="preserve">本项目成交服务费为</w:t>
      </w:r>
      <w:r>
        <w:rPr>
          <w:rFonts w:hint="eastAsia" w:ascii="宋体" w:hAnsi="宋体"/>
          <w:color w:val="auto"/>
          <w:szCs w:val="21"/>
          <w:highlight w:val="none"/>
        </w:rPr>
        <w:t xml:space="preserve">22212元整。</w:t>
      </w:r>
      <w:r/>
    </w:p>
    <w:p>
      <w:pPr>
        <w:ind w:left="540"/>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收费标准：预算金额100万以下部分费率为预算金额的1.5%；预算金额100万-500万部分费率为预算金额的1.1%。</w:t>
      </w:r>
      <w:r/>
    </w:p>
    <w:p>
      <w:pPr>
        <w:ind w:left="539"/>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shd w:val="clear" w:color="auto"/>
        <w:rPr>
          <w:rFonts w:hint="eastAsia"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shd w:val="clear" w:color="auto"/>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磋商说明：</w:t>
      </w:r>
      <w:r/>
    </w:p>
    <w:p>
      <w:pPr>
        <w:numPr>
          <w:ilvl w:val="0"/>
          <w:numId w:val="45"/>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不符合供应商资格要求的磋商响应文件将被拒绝；</w:t>
      </w:r>
      <w:r/>
    </w:p>
    <w:p>
      <w:pPr>
        <w:numPr>
          <w:ilvl w:val="0"/>
          <w:numId w:val="45"/>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参加磋商的供应商必须提供供应商代表的身份证明原件和法定代表人授权委托书原件（法定代表人为磋商代表的可不提供）；</w:t>
      </w:r>
      <w:r/>
    </w:p>
    <w:p>
      <w:pPr>
        <w:numPr>
          <w:ilvl w:val="0"/>
          <w:numId w:val="45"/>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磋商响应文件密封和签署不符合要求的，磋商响应文件将被拒绝；</w:t>
      </w:r>
      <w:r/>
    </w:p>
    <w:p>
      <w:pPr>
        <w:numPr>
          <w:ilvl w:val="0"/>
          <w:numId w:val="45"/>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不同投标（响应）人存在投标(响应)文件制作机器码一致的，视为无效响应； </w:t>
      </w:r>
      <w:r/>
    </w:p>
    <w:p>
      <w:pPr>
        <w:numPr>
          <w:ilvl w:val="0"/>
          <w:numId w:val="45"/>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实质性响应磋商文件不满三家、或进入二次报价的不满三家、或二次报价在采购预算内不满三家的，磋商采购失败。</w:t>
      </w:r>
      <w:r/>
    </w:p>
    <w:p>
      <w:pPr>
        <w:numPr>
          <w:ilvl w:val="0"/>
          <w:numId w:val="45"/>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szCs w:val="21"/>
          <w:highlight w:val="none"/>
        </w:rPr>
        <w:t xml:space="preserve">最终合同单</w:t>
      </w:r>
      <w:r>
        <w:rPr>
          <w:rFonts w:hint="eastAsia" w:ascii="宋体" w:hAnsi="宋体"/>
          <w:color w:val="auto"/>
          <w:highlight w:val="none"/>
        </w:rPr>
        <w:t xml:space="preserve">价按最终总报价同比例下（上）浮。</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shd w:val="clear" w:color="auto"/>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46"/>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因情况变化，不再符合规定的竞争性磋商采购方式适用情形的；</w:t>
      </w:r>
      <w:r/>
    </w:p>
    <w:p>
      <w:pPr>
        <w:numPr>
          <w:ilvl w:val="0"/>
          <w:numId w:val="46"/>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出现影响采购公正的违法、违规行为的；</w:t>
      </w:r>
      <w:r/>
    </w:p>
    <w:p>
      <w:pPr>
        <w:numPr>
          <w:ilvl w:val="0"/>
          <w:numId w:val="46"/>
        </w:numPr>
        <w:spacing w:line="400" w:lineRule="exact"/>
        <w:shd w:val="clear" w:color="auto"/>
        <w:tabs>
          <w:tab w:val="left" w:pos="540" w:leader="none"/>
        </w:tabs>
        <w:rPr>
          <w:rFonts w:hint="eastAsia" w:ascii="宋体" w:hAnsi="宋体"/>
          <w:bCs/>
          <w:color w:val="auto"/>
          <w:szCs w:val="21"/>
          <w:highlight w:val="none"/>
        </w:rPr>
      </w:pPr>
      <w:r>
        <w:rPr>
          <w:rFonts w:hint="eastAsia" w:ascii="宋体" w:hAnsi="宋体"/>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4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确定成交单位后在投标有效期截止前，采购代理机构将以书面形式通知成交的响应单位。</w:t>
      </w:r>
      <w:r/>
    </w:p>
    <w:p>
      <w:pPr>
        <w:numPr>
          <w:ilvl w:val="0"/>
          <w:numId w:val="4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成交通知书将成为合同的组成部分。</w:t>
      </w:r>
      <w:r/>
    </w:p>
    <w:p>
      <w:pPr>
        <w:numPr>
          <w:ilvl w:val="0"/>
          <w:numId w:val="47"/>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采购人或采购代理机构对未成交单位不承担解释未成交原因的义务。</w:t>
      </w:r>
      <w:r/>
    </w:p>
    <w:p>
      <w:pPr>
        <w:numPr>
          <w:ilvl w:val="0"/>
          <w:numId w:val="47"/>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szCs w:val="21"/>
          <w:highlight w:val="none"/>
        </w:rPr>
        <w:t xml:space="preserve">请成交单位在成交结果公告届满之日起30日内,使用CA证书登录“苏采云”系统及时下载成交通知书。因系统存储空</w:t>
      </w:r>
      <w:r>
        <w:rPr>
          <w:rFonts w:hint="eastAsia" w:ascii="宋体" w:hAnsi="宋体"/>
          <w:color w:val="auto"/>
          <w:highlight w:val="none"/>
        </w:rPr>
        <w:t xml:space="preserve">间有限，自成交结果公告届满之日起30日后，“苏采云”系统不再保证提供下载中标通知书服务,因未及时下载而造成的不利后果由成交单位自行承担。</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44"/>
        </w:numPr>
        <w:ind w:left="567" w:hanging="567"/>
        <w:spacing w:line="400" w:lineRule="exact"/>
        <w:shd w:val="clear" w:color="auto"/>
        <w:tabs>
          <w:tab w:val="left" w:pos="567" w:leader="none"/>
        </w:tabs>
        <w:rPr>
          <w:rFonts w:hint="eastAsia"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17"/>
        </w:numPr>
        <w:ind w:left="525" w:hanging="525"/>
        <w:spacing w:line="400" w:lineRule="exact"/>
        <w:shd w:val="clear" w:color="auto"/>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48"/>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4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采购代理机构会在接收响应文件截止时间后，在信用中国等网站输入供应商全称或统一社会信用代码查询信用记录，并将查询结果递交评审小组。</w:t>
      </w:r>
      <w:r/>
    </w:p>
    <w:p>
      <w:pPr>
        <w:numPr>
          <w:ilvl w:val="0"/>
          <w:numId w:val="4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49"/>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8"/>
        </w:numPr>
        <w:spacing w:line="400" w:lineRule="exact"/>
        <w:shd w:val="clear" w:color="auto"/>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shd w:val="clear" w:color="auto"/>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48"/>
        </w:numPr>
        <w:spacing w:line="400" w:lineRule="exact"/>
        <w:shd w:val="clear" w:color="auto"/>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质疑事项</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51"/>
        </w:numPr>
        <w:ind w:left="567" w:firstLine="0"/>
        <w:spacing w:line="400" w:lineRule="exact"/>
        <w:shd w:val="clear" w:color="auto"/>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对</w:t>
      </w:r>
      <w:r>
        <w:rPr>
          <w:rFonts w:hint="eastAsia" w:ascii="宋体" w:hAnsi="宋体"/>
          <w:color w:val="auto"/>
          <w:highlight w:val="none"/>
        </w:rPr>
        <w:t xml:space="preserve">可以质疑的采购文件提出质疑的，为收到采购文件之日或者采购文件公告期限届满之日；</w:t>
      </w:r>
      <w:r/>
    </w:p>
    <w:p>
      <w:pPr>
        <w:numPr>
          <w:ilvl w:val="0"/>
          <w:numId w:val="51"/>
        </w:numPr>
        <w:ind w:left="567" w:firstLine="0"/>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对采购过程提出质疑的，为各采购程序环节结束之日；</w:t>
      </w:r>
      <w:r/>
    </w:p>
    <w:p>
      <w:pPr>
        <w:numPr>
          <w:ilvl w:val="0"/>
          <w:numId w:val="51"/>
        </w:numPr>
        <w:ind w:left="567" w:firstLine="0"/>
        <w:spacing w:line="400" w:lineRule="exact"/>
        <w:shd w:val="clear" w:color="auto"/>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shd w:val="clear" w:color="auto"/>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shd w:val="clear" w:color="auto"/>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50"/>
        </w:numPr>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7"/>
        </w:numPr>
        <w:ind w:left="525" w:hanging="525"/>
        <w:spacing w:line="400" w:lineRule="exact"/>
        <w:shd w:val="clear" w:color="auto"/>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5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0"/>
          <w:numId w:val="53"/>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52"/>
        </w:numPr>
        <w:spacing w:line="400" w:lineRule="exact"/>
        <w:shd w:val="clear" w:color="auto"/>
        <w:tabs>
          <w:tab w:val="left" w:pos="540" w:leader="none"/>
        </w:tabs>
        <w:rPr>
          <w:rFonts w:hint="eastAsia"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54"/>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0"/>
          <w:numId w:val="54"/>
        </w:numPr>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52"/>
        </w:numPr>
        <w:spacing w:line="400" w:lineRule="exact"/>
        <w:shd w:val="clear" w:color="auto"/>
        <w:tabs>
          <w:tab w:val="left" w:pos="540" w:leader="none"/>
        </w:tabs>
        <w:rPr>
          <w:rFonts w:hint="eastAsia"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52"/>
        </w:numPr>
        <w:spacing w:line="400" w:lineRule="exact"/>
        <w:shd w:val="clear" w:color="auto"/>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shd w:val="clear" w:color="auto"/>
        <w:tabs>
          <w:tab w:val="left" w:pos="525" w:leader="none"/>
        </w:tabs>
        <w:rPr>
          <w:rFonts w:hint="eastAsia" w:ascii="宋体" w:hAnsi="宋体"/>
          <w:bCs/>
          <w:color w:val="auto"/>
          <w:highlight w:val="none"/>
        </w:rPr>
      </w:pPr>
      <w:r>
        <w:rPr>
          <w:rFonts w:hint="eastAsia" w:ascii="宋体" w:hAnsi="宋体"/>
          <w:bCs/>
          <w:color w:val="auto"/>
          <w:highlight w:val="none"/>
        </w:rPr>
      </w:r>
      <w:r/>
    </w:p>
    <w:p>
      <w:pPr>
        <w:ind w:left="-525"/>
        <w:jc w:val="center"/>
        <w:spacing w:line="400" w:lineRule="exact"/>
        <w:shd w:val="clear" w:color="auto"/>
        <w:tabs>
          <w:tab w:val="left" w:pos="525" w:leader="none"/>
        </w:tabs>
        <w:rPr>
          <w:rFonts w:hint="eastAsia" w:ascii="宋体" w:hAnsi="宋体"/>
          <w:b/>
          <w:color w:val="auto"/>
          <w:highlight w:val="none"/>
        </w:rPr>
      </w:pPr>
      <w:r>
        <w:rPr>
          <w:rFonts w:hint="eastAsia" w:ascii="宋体" w:hAnsi="宋体"/>
          <w:b/>
          <w:color w:val="auto"/>
          <w:highlight w:val="none"/>
        </w:rPr>
        <w:t xml:space="preserve">成交原则</w:t>
      </w:r>
      <w:r/>
    </w:p>
    <w:p>
      <w:pPr>
        <w:numPr>
          <w:ilvl w:val="0"/>
          <w:numId w:val="55"/>
        </w:numPr>
        <w:ind w:left="525" w:hanging="525"/>
        <w:spacing w:line="400" w:lineRule="exact"/>
        <w:shd w:val="clear" w:color="auto"/>
        <w:tabs>
          <w:tab w:val="left" w:pos="525" w:leader="none"/>
        </w:tabs>
        <w:rPr>
          <w:rFonts w:hint="eastAsia"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采购采用综合评分法，即在</w:t>
      </w:r>
      <w:r>
        <w:rPr>
          <w:rFonts w:ascii="宋体" w:hAnsi="宋体"/>
          <w:color w:val="auto"/>
          <w:szCs w:val="21"/>
          <w:highlight w:val="none"/>
        </w:rPr>
        <w:t xml:space="preserve">响应文件满足磋商文件全部实质性要求</w:t>
      </w:r>
      <w:r>
        <w:rPr>
          <w:rFonts w:hint="eastAsia" w:ascii="宋体" w:hAnsi="宋体"/>
          <w:color w:val="auto"/>
          <w:szCs w:val="21"/>
          <w:highlight w:val="none"/>
        </w:rPr>
        <w:t xml:space="preserve">，</w:t>
      </w:r>
      <w:r>
        <w:rPr>
          <w:rFonts w:ascii="宋体" w:hAnsi="宋体"/>
          <w:color w:val="auto"/>
          <w:szCs w:val="21"/>
          <w:highlight w:val="none"/>
        </w:rPr>
        <w:t xml:space="preserve">且按评审因素的量化指标</w:t>
      </w:r>
      <w:r>
        <w:rPr>
          <w:rFonts w:hint="eastAsia" w:ascii="宋体" w:hAnsi="宋体"/>
          <w:color w:val="auto"/>
          <w:szCs w:val="21"/>
          <w:highlight w:val="none"/>
        </w:rPr>
        <w:t xml:space="preserve">进行</w:t>
      </w:r>
      <w:r>
        <w:rPr>
          <w:rFonts w:ascii="宋体" w:hAnsi="宋体"/>
          <w:color w:val="auto"/>
          <w:szCs w:val="21"/>
          <w:highlight w:val="none"/>
        </w:rPr>
        <w:t xml:space="preserve">评审</w:t>
      </w:r>
      <w:r>
        <w:rPr>
          <w:rFonts w:hint="eastAsia" w:ascii="宋体" w:hAnsi="宋体"/>
          <w:color w:val="auto"/>
          <w:szCs w:val="21"/>
          <w:highlight w:val="none"/>
        </w:rPr>
        <w:t xml:space="preserve">综合，</w:t>
      </w:r>
      <w:r>
        <w:rPr>
          <w:rFonts w:hint="eastAsia"/>
          <w:color w:val="auto"/>
          <w:highlight w:val="none"/>
        </w:rPr>
        <w:t xml:space="preserve">综合得分最高的响应供应商成为成交供应商。</w:t>
      </w:r>
      <w:r/>
    </w:p>
    <w:p>
      <w:pPr>
        <w:numPr>
          <w:ilvl w:val="0"/>
          <w:numId w:val="55"/>
        </w:numPr>
        <w:ind w:left="525" w:hanging="525"/>
        <w:spacing w:line="400" w:lineRule="exact"/>
        <w:shd w:val="clear" w:color="auto"/>
        <w:tabs>
          <w:tab w:val="left" w:pos="525" w:leader="none"/>
          <w:tab w:val="left" w:pos="2870" w:leader="none"/>
        </w:tabs>
        <w:rPr>
          <w:rFonts w:hint="eastAsia" w:ascii="宋体" w:hAnsi="宋体" w:cs="宋体"/>
          <w:color w:val="auto"/>
          <w:highlight w:val="none"/>
        </w:rPr>
      </w:pPr>
      <w:r>
        <w:rPr>
          <w:rFonts w:hint="eastAsia" w:ascii="宋体" w:hAnsi="宋体"/>
          <w:color w:val="auto"/>
          <w:szCs w:val="21"/>
          <w:highlight w:val="none"/>
        </w:rPr>
        <w:t xml:space="preserve">如出现评标总得分最高的磋商响应单位有两个以上的，以实际</w:t>
      </w:r>
      <w:r>
        <w:rPr>
          <w:rFonts w:ascii="宋体" w:hAnsi="宋体"/>
          <w:color w:val="auto"/>
          <w:szCs w:val="21"/>
          <w:highlight w:val="none"/>
        </w:rPr>
        <w:t xml:space="preserve">投标报价较低者优先作为</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rPr>
          <w:rFonts w:hint="eastAsia" w:ascii="宋体" w:hAnsi="宋体"/>
          <w:color w:val="auto"/>
          <w:szCs w:val="21"/>
          <w:highlight w:val="none"/>
        </w:rPr>
        <w:t xml:space="preserve">；</w:t>
      </w:r>
      <w:r>
        <w:rPr>
          <w:rFonts w:ascii="宋体" w:hAnsi="宋体"/>
          <w:color w:val="auto"/>
          <w:szCs w:val="21"/>
          <w:highlight w:val="none"/>
        </w:rPr>
        <w:t xml:space="preserve">如果</w:t>
      </w:r>
      <w:r>
        <w:rPr>
          <w:rFonts w:hint="eastAsia" w:ascii="宋体" w:hAnsi="宋体"/>
          <w:color w:val="auto"/>
          <w:szCs w:val="21"/>
          <w:highlight w:val="none"/>
        </w:rPr>
        <w:t xml:space="preserve">投标报</w:t>
      </w:r>
      <w:r>
        <w:rPr>
          <w:rFonts w:hint="eastAsia" w:ascii="宋体" w:hAnsi="宋体" w:cs="宋体"/>
          <w:color w:val="auto"/>
          <w:szCs w:val="21"/>
          <w:highlight w:val="none"/>
        </w:rPr>
        <w:t xml:space="preserve">价也相同的，则由代理机构组织以抽签方式确定成交候选人</w:t>
      </w:r>
      <w:r>
        <w:rPr>
          <w:rFonts w:hint="eastAsia" w:ascii="宋体" w:hAnsi="宋体" w:cs="宋体"/>
          <w:color w:val="auto"/>
          <w:highlight w:val="none"/>
        </w:rPr>
        <w:t xml:space="preserve">。</w:t>
      </w:r>
      <w:r/>
    </w:p>
    <w:p>
      <w:pPr>
        <w:ind w:left="-525"/>
        <w:jc w:val="center"/>
        <w:spacing w:line="400" w:lineRule="exact"/>
        <w:shd w:val="clear" w:color="auto"/>
        <w:tabs>
          <w:tab w:val="left" w:pos="52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评分标准</w:t>
      </w:r>
      <w:r/>
    </w:p>
    <w:p>
      <w:pPr>
        <w:numPr>
          <w:ilvl w:val="0"/>
          <w:numId w:val="56"/>
        </w:numPr>
        <w:ind w:left="567" w:hanging="567"/>
        <w:spacing w:line="400" w:lineRule="exact"/>
        <w:shd w:val="clear" w:color="auto"/>
        <w:tabs>
          <w:tab w:val="left" w:pos="567" w:leader="none"/>
        </w:tabs>
        <w:rPr>
          <w:rFonts w:hint="eastAsia" w:ascii="宋体" w:hAnsi="宋体" w:cs="宋体"/>
          <w:b/>
          <w:color w:val="auto"/>
          <w:szCs w:val="21"/>
          <w:highlight w:val="none"/>
        </w:rPr>
      </w:pPr>
      <w:r/>
      <w:bookmarkStart w:id="35" w:name="_Hlk165988719"/>
      <w:r>
        <w:rPr>
          <w:rFonts w:hint="eastAsia" w:ascii="宋体" w:hAnsi="宋体" w:cs="宋体"/>
          <w:b/>
          <w:color w:val="auto"/>
          <w:szCs w:val="21"/>
          <w:highlight w:val="none"/>
        </w:rPr>
        <w:t xml:space="preserve">价格分（10分）</w:t>
      </w:r>
      <w:r/>
    </w:p>
    <w:p>
      <w:pPr>
        <w:numPr>
          <w:ilvl w:val="0"/>
          <w:numId w:val="57"/>
        </w:numPr>
        <w:ind w:left="567" w:hanging="567"/>
        <w:spacing w:line="400" w:lineRule="exact"/>
        <w:shd w:val="clear" w:color="auto"/>
        <w:tabs>
          <w:tab w:val="left" w:pos="567" w:leader="none"/>
        </w:tabs>
        <w:rPr>
          <w:rFonts w:hint="eastAsia" w:ascii="宋体" w:hAnsi="宋体" w:cs="宋体"/>
          <w:color w:val="auto"/>
          <w:szCs w:val="21"/>
          <w:highlight w:val="none"/>
        </w:rPr>
      </w:pPr>
      <w:r/>
      <w:bookmarkStart w:id="36" w:name="OLE_LINK2"/>
      <w:r>
        <w:rPr>
          <w:rFonts w:hint="eastAsia" w:ascii="宋体" w:hAnsi="宋体" w:cs="宋体"/>
          <w:color w:val="auto"/>
          <w:szCs w:val="21"/>
          <w:highlight w:val="none"/>
        </w:rPr>
        <w:t xml:space="preserve">磋商报价不超过采购预算价格的，为有效磋商报价。超出此范围的磋商报价为无效磋商报价。无效磋商报价的响应文件不进行评审，也不得标。</w:t>
      </w:r>
      <w:r/>
    </w:p>
    <w:p>
      <w:pPr>
        <w:numPr>
          <w:ilvl w:val="0"/>
          <w:numId w:val="57"/>
        </w:numPr>
        <w:ind w:left="567" w:hanging="567"/>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价格得分计算方法：根据各响应单位通过符合性审查的有效磋商报价中的最低价作为评标基准价，其价格分为满分。</w:t>
      </w:r>
      <w:r/>
    </w:p>
    <w:p>
      <w:pPr>
        <w:ind w:firstLine="567"/>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其他响应单位的价格分统一按照下列公式计算：</w:t>
      </w:r>
      <w:r/>
    </w:p>
    <w:p>
      <w:pPr>
        <w:ind w:firstLine="567"/>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磋商报价得分=(评标基准价／磋商报价)×价格权值×100，小数点后保留两位。</w:t>
      </w:r>
      <w:bookmarkEnd w:id="36"/>
      <w:r/>
      <w:r/>
    </w:p>
    <w:p>
      <w:pPr>
        <w:numPr>
          <w:ilvl w:val="0"/>
          <w:numId w:val="56"/>
        </w:numPr>
        <w:ind w:left="567" w:hanging="567"/>
        <w:spacing w:line="400" w:lineRule="exact"/>
        <w:shd w:val="clear" w:color="auto"/>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技术服务方案（3</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分）</w:t>
      </w:r>
      <w:r/>
    </w:p>
    <w:p>
      <w:pPr>
        <w:numPr>
          <w:ilvl w:val="0"/>
          <w:numId w:val="58"/>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项目总体方案（10分） </w:t>
      </w:r>
      <w:r/>
    </w:p>
    <w:p>
      <w:pPr>
        <w:ind w:left="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考核投标人对本项目需求的理解和总体技术方案的阐述，总体技术方案内容齐全、结构完整、表述准确、条理清晰、科学、合理、可行得10分；方案较完整、表述较准确、较合理、较可行得7分；方案基本完整、基本准确、基本可行得4分；方案不太完整、不太可行得1分；否则不得分。</w:t>
      </w:r>
      <w:r/>
    </w:p>
    <w:p>
      <w:pPr>
        <w:numPr>
          <w:ilvl w:val="0"/>
          <w:numId w:val="58"/>
        </w:numPr>
        <w:ind w:left="567" w:hanging="567"/>
        <w:jc w:val="left"/>
        <w:spacing w:line="400" w:lineRule="exact"/>
        <w:shd w:val="clear" w:color="auto"/>
        <w:widowControl/>
        <w:tabs>
          <w:tab w:val="left" w:pos="567" w:leader="none"/>
        </w:tabs>
        <w:rPr>
          <w:rFonts w:hint="eastAsia" w:ascii="宋体" w:hAnsi="宋体" w:cs="宋体"/>
          <w:b/>
          <w:bCs/>
          <w:color w:val="auto"/>
          <w:szCs w:val="21"/>
          <w:highlight w:val="none"/>
        </w:rPr>
      </w:pPr>
      <w:r>
        <w:rPr>
          <w:rFonts w:hint="eastAsia" w:ascii="宋体" w:hAnsi="宋体" w:cs="宋体"/>
          <w:color w:val="auto"/>
          <w:szCs w:val="21"/>
          <w:highlight w:val="none"/>
        </w:rPr>
        <w:t xml:space="preserve">服务响应（10分）</w:t>
      </w:r>
      <w:r/>
    </w:p>
    <w:p>
      <w:pPr>
        <w:ind w:left="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本项目质控检查任务需求、现场检查及保证样品时效性的服务响应承诺及措施评分，响应及时，措施科学、合理、有效得10分；响应较及时、措施较合理、较可行得7分；响应基本及时，措施基本合理、基本可行得4分；响应不太及时，措施不太可行得1分；否则不得分。</w:t>
      </w:r>
      <w:r/>
    </w:p>
    <w:p>
      <w:pPr>
        <w:numPr>
          <w:ilvl w:val="0"/>
          <w:numId w:val="58"/>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应急预案（5分）</w:t>
      </w:r>
      <w:r/>
    </w:p>
    <w:p>
      <w:pPr>
        <w:ind w:left="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在监测任务开展期间，为保证完成质控检查任务所提出的有效预防和补救措施科学、合理、详细、可行得5分；措施较合理、较详细、较可行得3分；措施基本合理、基本可行得1分；否则不得分。</w:t>
      </w:r>
      <w:r/>
    </w:p>
    <w:p>
      <w:pPr>
        <w:numPr>
          <w:ilvl w:val="0"/>
          <w:numId w:val="58"/>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针对本项目投入的质控平台及移动终端软件情况（</w:t>
      </w:r>
      <w:r>
        <w:rPr>
          <w:rFonts w:ascii="宋体" w:hAnsi="宋体" w:cs="宋体"/>
          <w:bCs/>
          <w:color w:val="auto"/>
          <w:szCs w:val="21"/>
          <w:highlight w:val="none"/>
        </w:rPr>
        <w:t xml:space="preserve">10</w:t>
      </w:r>
      <w:r>
        <w:rPr>
          <w:rFonts w:hint="eastAsia" w:ascii="宋体" w:hAnsi="宋体" w:cs="宋体"/>
          <w:bCs/>
          <w:color w:val="auto"/>
          <w:szCs w:val="21"/>
          <w:highlight w:val="none"/>
        </w:rPr>
        <w:t xml:space="preserve">分）</w:t>
      </w:r>
      <w:r/>
    </w:p>
    <w:p>
      <w:pPr>
        <w:ind w:left="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Arial"/>
          <w:color w:val="auto"/>
          <w:szCs w:val="21"/>
          <w:highlight w:val="none"/>
        </w:rPr>
        <w:t xml:space="preserve">质控</w:t>
      </w:r>
      <w:r>
        <w:rPr>
          <w:rFonts w:ascii="宋体" w:hAnsi="宋体" w:cs="Arial"/>
          <w:color w:val="auto"/>
          <w:szCs w:val="21"/>
          <w:highlight w:val="none"/>
        </w:rPr>
        <w:t xml:space="preserve">平台功能</w:t>
      </w:r>
      <w:r>
        <w:rPr>
          <w:rFonts w:hint="eastAsia" w:ascii="宋体" w:hAnsi="宋体" w:cs="Arial"/>
          <w:color w:val="auto"/>
          <w:szCs w:val="21"/>
          <w:highlight w:val="none"/>
        </w:rPr>
        <w:t xml:space="preserve">需</w:t>
      </w:r>
      <w:r>
        <w:rPr>
          <w:rFonts w:ascii="宋体" w:hAnsi="宋体" w:cs="Arial"/>
          <w:color w:val="auto"/>
          <w:szCs w:val="21"/>
          <w:highlight w:val="none"/>
        </w:rPr>
        <w:t xml:space="preserve">包含</w:t>
      </w:r>
      <w:r>
        <w:rPr>
          <w:rFonts w:hint="eastAsia" w:ascii="宋体" w:hAnsi="宋体" w:cs="Arial"/>
          <w:color w:val="auto"/>
          <w:szCs w:val="21"/>
          <w:highlight w:val="none"/>
        </w:rPr>
        <w:t xml:space="preserve">质控站点GIS</w:t>
      </w:r>
      <w:r>
        <w:rPr>
          <w:rFonts w:ascii="宋体" w:hAnsi="宋体" w:cs="Arial"/>
          <w:color w:val="auto"/>
          <w:szCs w:val="21"/>
          <w:highlight w:val="none"/>
        </w:rPr>
        <w:t xml:space="preserve">查询</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质控</w:t>
      </w:r>
      <w:r>
        <w:rPr>
          <w:rFonts w:ascii="宋体" w:hAnsi="宋体" w:cs="Arial"/>
          <w:bCs/>
          <w:color w:val="auto"/>
          <w:szCs w:val="21"/>
          <w:highlight w:val="none"/>
        </w:rPr>
        <w:t xml:space="preserve">计划管理</w:t>
      </w:r>
      <w:r>
        <w:rPr>
          <w:rFonts w:hint="eastAsia" w:ascii="宋体" w:hAnsi="宋体" w:cs="Arial"/>
          <w:bCs/>
          <w:color w:val="auto"/>
          <w:szCs w:val="21"/>
          <w:highlight w:val="none"/>
        </w:rPr>
        <w:t xml:space="preserve">和</w:t>
      </w:r>
      <w:r>
        <w:rPr>
          <w:rFonts w:ascii="宋体" w:hAnsi="宋体" w:cs="Arial"/>
          <w:bCs/>
          <w:color w:val="auto"/>
          <w:szCs w:val="21"/>
          <w:highlight w:val="none"/>
        </w:rPr>
        <w:t xml:space="preserve">提醒、</w:t>
      </w:r>
      <w:r>
        <w:rPr>
          <w:rFonts w:hint="eastAsia" w:ascii="宋体" w:hAnsi="宋体" w:cs="Arial"/>
          <w:bCs/>
          <w:color w:val="auto"/>
          <w:szCs w:val="21"/>
          <w:highlight w:val="none"/>
        </w:rPr>
        <w:t xml:space="preserve">质控</w:t>
      </w:r>
      <w:r>
        <w:rPr>
          <w:rFonts w:ascii="宋体" w:hAnsi="宋体" w:cs="Arial"/>
          <w:bCs/>
          <w:color w:val="auto"/>
          <w:szCs w:val="21"/>
          <w:highlight w:val="none"/>
        </w:rPr>
        <w:t xml:space="preserve">工单管理、考核管理、站点管理、设备管理</w:t>
      </w:r>
      <w:r>
        <w:rPr>
          <w:rFonts w:hint="eastAsia" w:ascii="宋体" w:hAnsi="宋体" w:cs="Arial"/>
          <w:bCs/>
          <w:color w:val="auto"/>
          <w:szCs w:val="21"/>
          <w:highlight w:val="none"/>
        </w:rPr>
        <w:t xml:space="preserve">、统计分析</w:t>
      </w:r>
      <w:r>
        <w:rPr>
          <w:rFonts w:ascii="宋体" w:hAnsi="宋体" w:cs="Arial"/>
          <w:bCs/>
          <w:color w:val="auto"/>
          <w:szCs w:val="21"/>
          <w:highlight w:val="none"/>
        </w:rPr>
        <w:t xml:space="preserve">等；移动端软件功能包括质控任务管理、工单管理、质控统计等</w:t>
      </w:r>
      <w:r>
        <w:rPr>
          <w:rFonts w:hint="eastAsia" w:ascii="宋体" w:hAnsi="宋体" w:cs="Arial"/>
          <w:bCs/>
          <w:color w:val="auto"/>
          <w:szCs w:val="21"/>
          <w:highlight w:val="none"/>
        </w:rPr>
        <w:t xml:space="preserve">功能，</w:t>
      </w:r>
      <w:r>
        <w:rPr>
          <w:rFonts w:hint="eastAsia" w:ascii="宋体" w:hAnsi="宋体" w:cs="宋体"/>
          <w:bCs/>
          <w:color w:val="auto"/>
          <w:szCs w:val="21"/>
          <w:highlight w:val="none"/>
        </w:rPr>
        <w:t xml:space="preserve">以上功能均需提供应用截图证明</w:t>
      </w:r>
      <w:r>
        <w:rPr>
          <w:rFonts w:ascii="宋体" w:hAnsi="宋体" w:cs="Arial"/>
          <w:bCs/>
          <w:color w:val="auto"/>
          <w:szCs w:val="21"/>
          <w:highlight w:val="none"/>
        </w:rPr>
        <w:t xml:space="preserve">。</w:t>
      </w:r>
      <w:r>
        <w:rPr>
          <w:rFonts w:hint="eastAsia" w:ascii="宋体" w:hAnsi="宋体" w:cs="宋体"/>
          <w:bCs/>
          <w:color w:val="auto"/>
          <w:szCs w:val="21"/>
          <w:highlight w:val="none"/>
        </w:rPr>
        <w:t xml:space="preserve">功能完整、齐全、清晰、合理得1</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分；功能较完整、较齐全、较合理得</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分；功能不太齐全得3分；未配置质控平台及移动终端软件，不得分。</w:t>
      </w:r>
      <w:r/>
    </w:p>
    <w:p>
      <w:pPr>
        <w:numPr>
          <w:ilvl w:val="0"/>
          <w:numId w:val="56"/>
        </w:numPr>
        <w:ind w:left="567" w:hanging="567"/>
        <w:spacing w:line="400" w:lineRule="exact"/>
        <w:shd w:val="clear" w:color="auto"/>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针对本项目的人员、车辆、设备、场所配备（</w:t>
      </w:r>
      <w:r>
        <w:rPr>
          <w:rFonts w:ascii="宋体" w:hAnsi="宋体" w:cs="宋体"/>
          <w:b/>
          <w:bCs/>
          <w:color w:val="auto"/>
          <w:szCs w:val="21"/>
          <w:highlight w:val="none"/>
        </w:rPr>
        <w:t xml:space="preserve">30</w:t>
      </w:r>
      <w:r>
        <w:rPr>
          <w:rFonts w:hint="eastAsia" w:ascii="宋体" w:hAnsi="宋体" w:cs="宋体"/>
          <w:b/>
          <w:bCs/>
          <w:color w:val="auto"/>
          <w:szCs w:val="21"/>
          <w:highlight w:val="none"/>
        </w:rPr>
        <w:t xml:space="preserve">分）</w:t>
      </w:r>
      <w:r/>
    </w:p>
    <w:p>
      <w:pPr>
        <w:numPr>
          <w:ilvl w:val="0"/>
          <w:numId w:val="59"/>
        </w:numPr>
        <w:jc w:val="left"/>
        <w:spacing w:line="400" w:lineRule="exact"/>
        <w:shd w:val="clear" w:color="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针对本项目技术人员配备（20分）</w:t>
      </w:r>
      <w:r/>
    </w:p>
    <w:p>
      <w:pPr>
        <w:numPr>
          <w:ilvl w:val="0"/>
          <w:numId w:val="60"/>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bookmarkStart w:id="37" w:name="OLE_LINK3"/>
      <w:r>
        <w:rPr>
          <w:rFonts w:hint="eastAsia" w:ascii="宋体" w:hAnsi="宋体" w:cs="宋体"/>
          <w:bCs/>
          <w:color w:val="auto"/>
          <w:szCs w:val="21"/>
          <w:highlight w:val="none"/>
        </w:rPr>
        <w:t xml:space="preserve">针对本项目配置的项目负责人（1人）具有环境类高级工程师（或以上）职称的得3分，具有环境类工程师职称的得1分；项目负责人具有环境类专业本科及以上学历得1分。提供相应证书及响应单位为其缴纳的最近一期社保证明，否则不得分。</w:t>
      </w:r>
      <w:bookmarkEnd w:id="37"/>
      <w:r>
        <w:rPr>
          <w:rFonts w:hint="eastAsia" w:ascii="宋体" w:hAnsi="宋体" w:cs="宋体"/>
          <w:bCs/>
          <w:color w:val="auto"/>
          <w:szCs w:val="21"/>
          <w:highlight w:val="none"/>
        </w:rPr>
        <w:t xml:space="preserve">（4分）</w:t>
      </w:r>
      <w:r/>
    </w:p>
    <w:p>
      <w:pPr>
        <w:numPr>
          <w:ilvl w:val="0"/>
          <w:numId w:val="60"/>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配置的质量负责人（1人）具有环境类高级工程师（或以上）职称的得3分，具有环境类工程师职称的得1分；质量负责人具有环境类专业本科学历得1分。提供相应证书及响应单位为其缴纳的最近一期社保证明，否则不得分。（</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分）</w:t>
      </w:r>
      <w:r/>
    </w:p>
    <w:p>
      <w:pPr>
        <w:numPr>
          <w:ilvl w:val="0"/>
          <w:numId w:val="60"/>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针对本项目配置质量检查人员，同时具备环境类中级及以上职称和环境类专业本科及以上学历的每个得3分，最高得12分。提供相应证书及响应单位为其缴纳的最近一期社保证明，否则不得分。（12分）</w:t>
      </w:r>
      <w:r/>
    </w:p>
    <w:p>
      <w:pPr>
        <w:numPr>
          <w:ilvl w:val="0"/>
          <w:numId w:val="59"/>
        </w:numPr>
        <w:jc w:val="left"/>
        <w:spacing w:line="400" w:lineRule="exact"/>
        <w:shd w:val="clear" w:color="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车辆配备（4分）</w:t>
      </w:r>
      <w:r/>
    </w:p>
    <w:p>
      <w:pPr>
        <w:ind w:left="567"/>
        <w:jc w:val="left"/>
        <w:spacing w:line="400" w:lineRule="exact"/>
        <w:shd w:val="clear" w:color="auto"/>
        <w:tabs>
          <w:tab w:val="left" w:pos="567" w:leader="none"/>
        </w:tabs>
        <w:rPr>
          <w:rFonts w:hint="eastAsia" w:ascii="宋体" w:hAnsi="宋体" w:cs="宋体"/>
          <w:b/>
          <w:bCs/>
          <w:color w:val="auto"/>
          <w:szCs w:val="21"/>
          <w:highlight w:val="none"/>
        </w:rPr>
        <w:outlineLvl w:val="2"/>
      </w:pPr>
      <w:r>
        <w:rPr>
          <w:rFonts w:hint="eastAsia" w:ascii="宋体" w:hAnsi="宋体" w:cs="宋体"/>
          <w:color w:val="auto"/>
          <w:szCs w:val="21"/>
          <w:highlight w:val="none"/>
        </w:rPr>
        <w:t xml:space="preserve">投入本项目的专用车辆3辆得3分，3辆以上得4分，否则不得分，提供车辆自有或有效租赁证明复印件，否则不得分。</w:t>
      </w:r>
      <w:r/>
    </w:p>
    <w:p>
      <w:pPr>
        <w:numPr>
          <w:ilvl w:val="0"/>
          <w:numId w:val="59"/>
        </w:numPr>
        <w:jc w:val="left"/>
        <w:spacing w:line="400" w:lineRule="exact"/>
        <w:shd w:val="clear" w:color="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现场测试设备配备（3分）</w:t>
      </w:r>
      <w:r/>
    </w:p>
    <w:p>
      <w:pPr>
        <w:ind w:left="567"/>
        <w:jc w:val="left"/>
        <w:spacing w:line="400" w:lineRule="exact"/>
        <w:shd w:val="clear" w:color="auto"/>
        <w:tabs>
          <w:tab w:val="left" w:pos="567" w:leader="none"/>
        </w:tabs>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结合项目开展需要，现场测试设备配备合理、技术成熟、充足得3分；配备较合理、较充足得2分；配备基本合理、基本充足得1分；提供配置清单及供本项目专用的说明材料，否则不得分。</w:t>
      </w:r>
      <w:r/>
    </w:p>
    <w:p>
      <w:pPr>
        <w:numPr>
          <w:ilvl w:val="0"/>
          <w:numId w:val="59"/>
        </w:numPr>
        <w:jc w:val="left"/>
        <w:spacing w:line="400" w:lineRule="exact"/>
        <w:shd w:val="clear" w:color="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场所配备（3分）</w:t>
      </w:r>
      <w:r/>
    </w:p>
    <w:p>
      <w:pPr>
        <w:ind w:left="567"/>
        <w:jc w:val="left"/>
        <w:spacing w:line="400" w:lineRule="exact"/>
        <w:shd w:val="clear" w:color="auto"/>
        <w:tabs>
          <w:tab w:val="left" w:pos="567" w:leader="none"/>
        </w:tabs>
        <w:rPr>
          <w:rFonts w:hint="eastAsia" w:ascii="宋体" w:hAnsi="宋体" w:cs="Arial"/>
          <w:color w:val="auto"/>
          <w:szCs w:val="21"/>
          <w:highlight w:val="none"/>
        </w:rPr>
        <w:outlineLvl w:val="2"/>
      </w:pPr>
      <w:r/>
      <w:bookmarkStart w:id="38" w:name="OLE_LINK4"/>
      <w:r>
        <w:rPr>
          <w:rFonts w:hint="eastAsia" w:ascii="宋体" w:hAnsi="宋体" w:cs="宋体"/>
          <w:color w:val="auto"/>
          <w:szCs w:val="21"/>
          <w:highlight w:val="none"/>
        </w:rPr>
        <w:t xml:space="preserve">响应单位具备本地化运维检查技术服务能力，在服务区域2小时车程范围内至少设立1个服务技术支持机构。提供房屋租赁合同或其他证明材料，否则不得分。</w:t>
      </w:r>
      <w:bookmarkEnd w:id="38"/>
      <w:r/>
      <w:r/>
    </w:p>
    <w:p>
      <w:pPr>
        <w:numPr>
          <w:ilvl w:val="0"/>
          <w:numId w:val="56"/>
        </w:numPr>
        <w:ind w:left="567" w:hanging="567"/>
        <w:spacing w:line="400" w:lineRule="exact"/>
        <w:shd w:val="clear" w:color="auto"/>
        <w:tabs>
          <w:tab w:val="left" w:pos="567" w:leader="none"/>
        </w:tabs>
        <w:rPr>
          <w:rFonts w:hint="eastAsia" w:ascii="宋体" w:hAnsi="宋体" w:cs="宋体"/>
          <w:b/>
          <w:bCs/>
          <w:color w:val="auto"/>
          <w:szCs w:val="21"/>
          <w:highlight w:val="none"/>
        </w:rPr>
      </w:pPr>
      <w:r>
        <w:rPr>
          <w:rFonts w:hint="eastAsia" w:ascii="宋体" w:hAnsi="宋体" w:cs="宋体"/>
          <w:b/>
          <w:color w:val="auto"/>
          <w:szCs w:val="21"/>
          <w:highlight w:val="none"/>
        </w:rPr>
        <w:t xml:space="preserve">响应</w:t>
      </w:r>
      <w:r>
        <w:rPr>
          <w:rFonts w:hint="eastAsia" w:ascii="宋体" w:hAnsi="宋体" w:cs="宋体"/>
          <w:b/>
          <w:bCs/>
          <w:color w:val="auto"/>
          <w:szCs w:val="21"/>
          <w:highlight w:val="none"/>
        </w:rPr>
        <w:t xml:space="preserve">单位综合能力（</w:t>
      </w:r>
      <w:r>
        <w:rPr>
          <w:rFonts w:ascii="宋体" w:hAnsi="宋体" w:cs="宋体"/>
          <w:b/>
          <w:bCs/>
          <w:color w:val="auto"/>
          <w:szCs w:val="21"/>
          <w:highlight w:val="none"/>
        </w:rPr>
        <w:t xml:space="preserve">25</w:t>
      </w:r>
      <w:r>
        <w:rPr>
          <w:rFonts w:hint="eastAsia" w:ascii="宋体" w:hAnsi="宋体" w:cs="宋体"/>
          <w:b/>
          <w:bCs/>
          <w:color w:val="auto"/>
          <w:szCs w:val="21"/>
          <w:highlight w:val="none"/>
        </w:rPr>
        <w:t xml:space="preserve">分）</w:t>
      </w:r>
      <w:r/>
    </w:p>
    <w:p>
      <w:pPr>
        <w:numPr>
          <w:ilvl w:val="0"/>
          <w:numId w:val="61"/>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响应单位为本项目配备经CMA认证的实验室，且实验室能力附表覆盖地表水的9项指标，即水温、pH、溶解氧、电导率、浊度、高锰酸盐指数、氨氮、总磷、总氮，每少一项扣1分，扣完为止。提供实验室配备证明和有效的CMA证书及能力附表证明材料，否则不得分。（9分）</w:t>
      </w:r>
      <w:r/>
    </w:p>
    <w:p>
      <w:pPr>
        <w:numPr>
          <w:ilvl w:val="0"/>
          <w:numId w:val="61"/>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响应单位专业服务能力（6分）</w:t>
      </w:r>
      <w:r/>
    </w:p>
    <w:p>
      <w:pPr>
        <w:ind w:left="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具有地表水水质自动监测站运营服务能力证书得</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分；具有现场端信息系统运营服务能力证书得</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分；具有水质数据审核分析平台得</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分</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投入的质控平台及移动端软件有相关应用案例的每个得1分，最高得2分；</w:t>
      </w:r>
      <w:r>
        <w:rPr>
          <w:rFonts w:hint="eastAsia" w:ascii="宋体" w:hAnsi="宋体" w:cs="宋体"/>
          <w:bCs/>
          <w:color w:val="auto"/>
          <w:szCs w:val="21"/>
          <w:highlight w:val="none"/>
        </w:rPr>
        <w:t xml:space="preserve">提供相应证书、证明复印件，否则不得分。</w:t>
      </w:r>
      <w:r/>
    </w:p>
    <w:p>
      <w:pPr>
        <w:numPr>
          <w:ilvl w:val="0"/>
          <w:numId w:val="61"/>
        </w:numPr>
        <w:ind w:left="567" w:hanging="567"/>
        <w:jc w:val="left"/>
        <w:spacing w:line="400" w:lineRule="exact"/>
        <w:shd w:val="clear" w:color="auto"/>
        <w:widowControl/>
        <w:tabs>
          <w:tab w:val="left" w:pos="56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类似项目业绩（10分）</w:t>
      </w:r>
      <w:r/>
    </w:p>
    <w:p>
      <w:pPr>
        <w:ind w:left="567"/>
        <w:jc w:val="left"/>
        <w:spacing w:line="400" w:lineRule="exact"/>
        <w:shd w:val="clear" w:color="auto"/>
        <w:tabs>
          <w:tab w:val="left" w:pos="567" w:leader="none"/>
        </w:tabs>
        <w:rPr>
          <w:rFonts w:hint="eastAsia" w:ascii="宋体" w:hAnsi="宋体" w:cs="宋体"/>
          <w:bCs/>
          <w:color w:val="auto"/>
          <w:szCs w:val="21"/>
          <w:highlight w:val="none"/>
        </w:rPr>
        <w:outlineLvl w:val="2"/>
      </w:pPr>
      <w:r/>
      <w:bookmarkStart w:id="40" w:name="_GoBack"/>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2年以来（以合同签署</w:t>
      </w:r>
      <w:r>
        <w:rPr>
          <w:rFonts w:hint="eastAsia" w:ascii="宋体" w:hAnsi="宋体" w:cs="宋体"/>
          <w:color w:val="auto"/>
          <w:szCs w:val="21"/>
          <w:highlight w:val="none"/>
        </w:rPr>
        <w:t xml:space="preserve">日期</w:t>
      </w:r>
      <w:r>
        <w:rPr>
          <w:rFonts w:hint="eastAsia" w:ascii="宋体" w:hAnsi="宋体" w:cs="宋体"/>
          <w:bCs/>
          <w:color w:val="auto"/>
          <w:szCs w:val="21"/>
          <w:highlight w:val="none"/>
        </w:rPr>
        <w:t xml:space="preserve">为准）承担过类似地表水站运维检查相关任务的业绩，每有一个委托单位</w:t>
      </w:r>
      <w:r>
        <w:rPr>
          <w:rFonts w:hint="eastAsia" w:ascii="宋体" w:hAnsi="宋体" w:cs="宋体"/>
          <w:bCs/>
          <w:color w:val="auto"/>
          <w:szCs w:val="21"/>
          <w:highlight w:val="none"/>
        </w:rPr>
        <w:t xml:space="preserve">得2分，最高得10分</w:t>
      </w:r>
      <w:r>
        <w:rPr>
          <w:rFonts w:hint="eastAsia" w:ascii="宋体" w:hAnsi="宋体" w:cs="宋体"/>
          <w:bCs/>
          <w:color w:val="auto"/>
          <w:szCs w:val="21"/>
          <w:highlight w:val="none"/>
        </w:rPr>
        <w:t xml:space="preserve">。提供业绩清单、合同首页、签字盖章页、主要服务内容页、任意一期合同发票的复印件。</w:t>
      </w:r>
      <w:bookmarkEnd w:id="40"/>
      <w:r/>
      <w:r/>
    </w:p>
    <w:p>
      <w:pPr>
        <w:pStyle w:val="1205"/>
        <w:spacing w:line="40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35"/>
        <w:spacing w:line="400" w:lineRule="exact"/>
        <w:shd w:val="clear" w:color="auto"/>
        <w:rPr>
          <w:rFonts w:hint="eastAsia"/>
          <w:color w:val="auto"/>
          <w:highlight w:val="none"/>
        </w:rPr>
      </w:pPr>
      <w:r>
        <w:rPr>
          <w:rFonts w:hint="eastAsia"/>
          <w:color w:val="auto"/>
          <w:highlight w:val="none"/>
        </w:rPr>
      </w:r>
      <w:bookmarkEnd w:id="35"/>
      <w:r/>
      <w:r/>
    </w:p>
    <w:p>
      <w:pPr>
        <w:spacing w:line="400" w:lineRule="exact"/>
        <w:shd w:val="clear" w:color="auto"/>
        <w:rPr>
          <w:rFonts w:hint="eastAsia" w:ascii="宋体" w:hAnsi="宋体" w:cs="宋体"/>
          <w:color w:val="auto"/>
          <w:highlight w:val="none"/>
        </w:rPr>
      </w:pPr>
      <w:r>
        <w:rPr>
          <w:rFonts w:hint="eastAsia" w:ascii="宋体" w:hAnsi="宋体" w:cs="宋体"/>
          <w:color w:val="auto"/>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shd w:val="clear" w:color="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00" w:lineRule="exact"/>
        <w:shd w:val="clear" w:color="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shd w:val="clear" w:color="auto"/>
        <w:rPr>
          <w:rFonts w:hint="eastAsia" w:ascii="宋体" w:hAnsi="宋体" w:cs="宋体"/>
          <w:color w:val="auto"/>
          <w:highlight w:val="none"/>
        </w:rPr>
      </w:pPr>
      <w:r/>
      <w:bookmarkStart w:id="39" w:name="_Hlk165988889"/>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rPr>
        <w:t xml:space="preserve">2026年省控地表水自动监测站运维检查技术服务</w:t>
      </w:r>
      <w:r>
        <w:rPr>
          <w:rFonts w:hint="eastAsia" w:ascii="宋体" w:hAnsi="宋体" w:cs="宋体"/>
          <w:color w:val="auto"/>
          <w:highlight w:val="none"/>
        </w:rPr>
        <w:t xml:space="preserve">项目（采购编号：</w:t>
      </w:r>
      <w:r>
        <w:rPr>
          <w:rFonts w:hint="eastAsia" w:ascii="宋体" w:hAnsi="宋体" w:cs="宋体"/>
          <w:color w:val="auto"/>
          <w:szCs w:val="21"/>
          <w:highlight w:val="none"/>
          <w:u w:val="single"/>
          <w:lang w:eastAsia="zh-CN"/>
        </w:rPr>
        <w:t xml:space="preserve">JSZC-320500-SZYX-C2025-0078</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62"/>
        </w:numPr>
        <w:spacing w:line="400" w:lineRule="exact"/>
        <w:shd w:val="clear" w:color="auto"/>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63"/>
        </w:numPr>
        <w:spacing w:line="400" w:lineRule="exact"/>
        <w:shd w:val="clear" w:color="auto"/>
        <w:tabs>
          <w:tab w:val="left" w:pos="54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w:t>
      </w:r>
      <w:r>
        <w:rPr>
          <w:rFonts w:hint="eastAsia" w:cs="仿宋_GB2312"/>
          <w:color w:val="auto"/>
          <w:szCs w:val="21"/>
          <w:highlight w:val="none"/>
        </w:rPr>
        <w:t xml:space="preserve">包含为完成工作所发生的一切预见和不可预见费用，包含但不限于样品采集保存与流转过程中涉及的车旅费、踏勘费、耗材费、人工费及不可预见费和现场踏勘中的设备购买（租赁）费、快速检测费等调查过程中发生的所有费用、合理利润、税收等。甲方不再支付其他费用。</w:t>
      </w:r>
      <w:r/>
    </w:p>
    <w:p>
      <w:pPr>
        <w:numPr>
          <w:ilvl w:val="1"/>
          <w:numId w:val="63"/>
        </w:numPr>
        <w:spacing w:line="400" w:lineRule="exact"/>
        <w:shd w:val="clear" w:color="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62"/>
        </w:numPr>
        <w:spacing w:line="400" w:lineRule="exact"/>
        <w:shd w:val="clear" w:color="auto"/>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62"/>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rPr>
        <w:t xml:space="preserve">2026年省控地表水自动监测站运维检查技术服务</w:t>
      </w:r>
      <w:r>
        <w:rPr>
          <w:rFonts w:hint="eastAsia" w:ascii="宋体" w:hAnsi="宋体" w:cs="宋体"/>
          <w:color w:val="auto"/>
          <w:szCs w:val="21"/>
          <w:highlight w:val="none"/>
        </w:rPr>
        <w:t xml:space="preserve">。</w:t>
      </w:r>
      <w:r/>
    </w:p>
    <w:p>
      <w:pPr>
        <w:numPr>
          <w:ilvl w:val="1"/>
          <w:numId w:val="62"/>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62"/>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服务期限：2026年5月1日至2027年4月30日。</w:t>
      </w:r>
      <w:r/>
    </w:p>
    <w:p>
      <w:pPr>
        <w:numPr>
          <w:ilvl w:val="0"/>
          <w:numId w:val="62"/>
        </w:numPr>
        <w:spacing w:line="400" w:lineRule="exact"/>
        <w:shd w:val="clear" w:color="auto"/>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履约保证金</w:t>
      </w:r>
      <w:r/>
    </w:p>
    <w:p>
      <w:pPr>
        <w:numPr>
          <w:ilvl w:val="1"/>
          <w:numId w:val="62"/>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乙方应按规定提交履约保证金。履约保证金金额为成交金额的10%。</w:t>
      </w:r>
      <w:r/>
    </w:p>
    <w:p>
      <w:pPr>
        <w:numPr>
          <w:ilvl w:val="1"/>
          <w:numId w:val="62"/>
        </w:numPr>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乙方必须在发出成交通知书后的三日内按规定向甲方缴纳履约保证金，履约保证金应当以支票、汇票、本票或者金融机构、担保机构出具的保函等非现金形式提交。</w:t>
      </w:r>
      <w:r/>
    </w:p>
    <w:p>
      <w:pPr>
        <w:numPr>
          <w:ilvl w:val="1"/>
          <w:numId w:val="62"/>
        </w:numPr>
        <w:spacing w:line="400" w:lineRule="exact"/>
        <w:shd w:val="clear" w:color="auto"/>
        <w:tabs>
          <w:tab w:val="left" w:pos="567" w:leader="none"/>
        </w:tabs>
        <w:rPr>
          <w:rFonts w:hint="eastAsia" w:ascii="宋体" w:hAnsi="宋体" w:cs="仿宋_GB2312"/>
          <w:color w:val="auto"/>
          <w:szCs w:val="21"/>
          <w:highlight w:val="none"/>
        </w:rPr>
      </w:pPr>
      <w:r>
        <w:rPr>
          <w:rFonts w:hint="eastAsia" w:ascii="宋体" w:hAnsi="宋体" w:cs="宋体"/>
          <w:color w:val="auto"/>
          <w:szCs w:val="21"/>
          <w:highlight w:val="none"/>
        </w:rPr>
        <w:t xml:space="preserve">履约保证金（无息）将在乙方合同履行完毕，扣除相应考核扣款后（如有），甲方凭乙方的收款收据在七个工作日内退</w:t>
      </w:r>
      <w:r>
        <w:rPr>
          <w:rFonts w:hint="eastAsia" w:ascii="宋体" w:hAnsi="宋体" w:cs="仿宋_GB2312"/>
          <w:color w:val="auto"/>
          <w:szCs w:val="21"/>
          <w:highlight w:val="none"/>
        </w:rPr>
        <w:t xml:space="preserve">返乙方。如履约保证金不足以抵扣考核扣款的，乙方必须予以补足。</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62"/>
        </w:numPr>
        <w:spacing w:line="400" w:lineRule="exact"/>
        <w:shd w:val="clear" w:color="auto"/>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支付步骤：合同签订生效后，乙方先向</w:t>
      </w:r>
      <w:r>
        <w:rPr>
          <w:rFonts w:hint="eastAsia" w:ascii="宋体" w:hAnsi="宋体"/>
          <w:color w:val="auto"/>
          <w:szCs w:val="21"/>
          <w:highlight w:val="none"/>
        </w:rPr>
        <w:t xml:space="preserve">甲方提供半年度服务费同等金额的银行保函，甲方支付半年度服务费，乙方提供相应技术服务半年后，甲方无息退还银行保函。半年服务期满后，按对每个水质自动站（点位）单独考核进行上半年度的考核，甲方按照考核标准，确定上半年实际服务费用，再支付下半年服务费（其中扣除上半年的扣款，若有），甲方支付下半年服务费前，乙方向甲方提供同等金额的银行保函，乙方继续服务半年后，甲方无息退还银行保函。服务期满后，按照考核标准如有扣款，甲方将在履约保证金中作相应扣除后无息退还履约保证金。如履约保证金不足以抵扣考核扣款的，乙方必须予以补足。</w:t>
      </w:r>
      <w:r/>
    </w:p>
    <w:p>
      <w:pPr>
        <w:numPr>
          <w:ilvl w:val="1"/>
          <w:numId w:val="62"/>
        </w:numPr>
        <w:spacing w:line="400" w:lineRule="exact"/>
        <w:shd w:val="clear" w:color="auto"/>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numPr>
          <w:ilvl w:val="3"/>
          <w:numId w:val="64"/>
        </w:numPr>
        <w:ind w:left="1080" w:right="-153" w:hanging="540"/>
        <w:spacing w:line="400" w:lineRule="exact"/>
        <w:shd w:val="clear" w:color="auto"/>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合格的</w:t>
      </w:r>
      <w:r>
        <w:rPr>
          <w:rFonts w:ascii="宋体" w:hAnsi="宋体"/>
          <w:color w:val="auto"/>
          <w:szCs w:val="21"/>
          <w:highlight w:val="none"/>
        </w:rPr>
        <w:t xml:space="preserve">发票</w:t>
      </w:r>
      <w:r>
        <w:rPr>
          <w:rFonts w:hint="eastAsia" w:ascii="宋体" w:hAnsi="宋体" w:cs="仿宋_GB2312"/>
          <w:color w:val="auto"/>
          <w:szCs w:val="21"/>
          <w:highlight w:val="none"/>
        </w:rPr>
        <w:t xml:space="preserve">。</w:t>
      </w:r>
      <w:r/>
    </w:p>
    <w:p>
      <w:pPr>
        <w:numPr>
          <w:ilvl w:val="3"/>
          <w:numId w:val="64"/>
        </w:numPr>
        <w:ind w:left="1080" w:right="-153" w:hanging="540"/>
        <w:spacing w:line="400" w:lineRule="exact"/>
        <w:shd w:val="clear" w:color="auto"/>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由甲乙双方及采购代理机构签章的《政府采购履约验收书》（最后一次付款提供）。</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shd w:val="clear" w:color="auto"/>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62"/>
        </w:numPr>
        <w:spacing w:line="400" w:lineRule="exact"/>
        <w:shd w:val="clear" w:color="auto"/>
        <w:tabs>
          <w:tab w:val="left" w:pos="540" w:leader="none"/>
          <w:tab w:val="left" w:pos="567" w:leader="none"/>
        </w:tabs>
        <w:rPr>
          <w:rFonts w:hint="eastAsia" w:cs="宋体" w:asciiTheme="minorEastAsia" w:hAnsiTheme="minorEastAsia" w:eastAsiaTheme="minorEastAsia"/>
          <w:color w:val="auto"/>
          <w:szCs w:val="21"/>
          <w:highlight w:val="none"/>
        </w:rPr>
      </w:pPr>
      <w:r>
        <w:rPr>
          <w:rFonts w:hint="eastAsia" w:ascii="宋体" w:hAnsi="宋体" w:cs="仿宋_GB2312"/>
          <w:color w:val="auto"/>
          <w:szCs w:val="21"/>
          <w:highlight w:val="none"/>
        </w:rPr>
        <w:t xml:space="preserve">乙方知悉甲</w:t>
      </w:r>
      <w:r>
        <w:rPr>
          <w:rFonts w:hint="eastAsia" w:cs="宋体" w:asciiTheme="minorEastAsia" w:hAnsiTheme="minorEastAsia" w:eastAsiaTheme="minorEastAsia"/>
          <w:color w:val="auto"/>
          <w:szCs w:val="21"/>
          <w:highlight w:val="none"/>
        </w:rPr>
        <w:t xml:space="preserve">方资金的属性，如由于甲方财政资金拨付不到位等财政方面的原因导致甲方</w:t>
      </w:r>
      <w:r>
        <w:rPr>
          <w:rFonts w:cs="宋体" w:asciiTheme="minorEastAsia" w:hAnsiTheme="minorEastAsia" w:eastAsiaTheme="minorEastAsia"/>
          <w:color w:val="auto"/>
          <w:szCs w:val="21"/>
          <w:highlight w:val="none"/>
        </w:rPr>
        <w:t xml:space="preserve">资金无法到位的</w:t>
      </w:r>
      <w:r>
        <w:rPr>
          <w:rFonts w:hint="eastAsia" w:cs="宋体" w:asciiTheme="minorEastAsia" w:hAnsiTheme="minorEastAsia" w:eastAsiaTheme="minorEastAsia"/>
          <w:color w:val="auto"/>
          <w:szCs w:val="21"/>
          <w:highlight w:val="none"/>
        </w:rPr>
        <w:t xml:space="preserve">，则合同提前终止。</w:t>
      </w:r>
      <w:r/>
    </w:p>
    <w:p>
      <w:pPr>
        <w:pStyle w:val="1269"/>
        <w:numPr>
          <w:ilvl w:val="255"/>
          <w:numId w:val="0"/>
        </w:numPr>
        <w:contextualSpacing/>
        <w:spacing w:line="400" w:lineRule="exact"/>
        <w:shd w:val="clear" w:color="auto"/>
        <w:tabs>
          <w:tab w:val="left" w:pos="567" w:leader="none"/>
        </w:tabs>
        <w:rPr>
          <w:rFonts w:hint="eastAsia" w:ascii="宋体" w:hAnsi="宋体" w:cs="Arial"/>
          <w:color w:val="auto"/>
          <w:szCs w:val="21"/>
          <w:highlight w:val="none"/>
        </w:rPr>
        <w:outlineLvl w:val="1"/>
      </w:pPr>
      <w:r>
        <w:rPr>
          <w:rFonts w:hint="eastAsia" w:ascii="宋体" w:hAnsi="宋体" w:cs="Arial"/>
          <w:color w:val="auto"/>
          <w:szCs w:val="21"/>
          <w:highlight w:val="none"/>
        </w:rPr>
        <w:t xml:space="preserve">4.7 </w:t>
      </w:r>
      <w:r>
        <w:rPr>
          <w:rFonts w:ascii="宋体" w:hAnsi="宋体" w:cs="Arial"/>
          <w:color w:val="auto"/>
          <w:szCs w:val="21"/>
          <w:highlight w:val="none"/>
        </w:rPr>
        <w:t xml:space="preserve">考核方法与付费原则</w:t>
      </w:r>
      <w:r/>
    </w:p>
    <w:p>
      <w:pPr>
        <w:ind w:left="567" w:hanging="567"/>
        <w:spacing w:line="400" w:lineRule="exact"/>
        <w:shd w:val="clear" w:color="auto"/>
        <w:tabs>
          <w:tab w:val="left" w:pos="567" w:leader="none"/>
        </w:tabs>
        <w:rPr>
          <w:rFonts w:hint="eastAsia" w:ascii="宋体" w:hAnsi="宋体" w:cs="Arial"/>
          <w:b/>
          <w:color w:val="auto"/>
          <w:szCs w:val="21"/>
          <w:highlight w:val="none"/>
        </w:rPr>
      </w:pPr>
      <w:r>
        <w:rPr>
          <w:rFonts w:hint="eastAsia" w:ascii="宋体" w:hAnsi="宋体" w:cs="Arial"/>
          <w:bCs/>
          <w:color w:val="auto"/>
          <w:szCs w:val="21"/>
          <w:highlight w:val="none"/>
        </w:rPr>
        <w:t xml:space="preserve">4.7.1</w:t>
      </w:r>
      <w:r>
        <w:rPr>
          <w:rFonts w:ascii="宋体" w:hAnsi="宋体" w:cs="Arial"/>
          <w:bCs/>
          <w:color w:val="auto"/>
          <w:szCs w:val="21"/>
          <w:highlight w:val="none"/>
        </w:rPr>
        <w:t xml:space="preserve">考核方法</w:t>
      </w:r>
      <w:r/>
    </w:p>
    <w:p>
      <w:pPr>
        <w:contextualSpacing/>
        <w:ind w:firstLine="567"/>
        <w:spacing w:line="400" w:lineRule="exact"/>
        <w:shd w:val="clear" w:color="auto"/>
        <w:rPr>
          <w:rFonts w:hint="eastAsia" w:ascii="宋体" w:hAnsi="宋体" w:cs="Arial"/>
          <w:color w:val="auto"/>
          <w:szCs w:val="21"/>
          <w:highlight w:val="none"/>
        </w:rPr>
      </w:pPr>
      <w:r>
        <w:rPr>
          <w:rFonts w:hint="eastAsia" w:ascii="宋体" w:hAnsi="宋体" w:cs="Arial"/>
          <w:color w:val="auto"/>
          <w:szCs w:val="21"/>
          <w:highlight w:val="none"/>
        </w:rPr>
        <w:t xml:space="preserve">按半年度一次</w:t>
      </w:r>
      <w:r>
        <w:rPr>
          <w:rFonts w:ascii="宋体" w:hAnsi="宋体" w:cs="Arial"/>
          <w:color w:val="auto"/>
          <w:szCs w:val="21"/>
          <w:highlight w:val="none"/>
        </w:rPr>
        <w:t xml:space="preserve">对每个水质自动站（点位）单独考核，考核内容包括</w:t>
      </w:r>
      <w:r>
        <w:rPr>
          <w:rFonts w:hint="eastAsia" w:ascii="宋体" w:hAnsi="宋体" w:cs="Arial"/>
          <w:color w:val="auto"/>
          <w:szCs w:val="21"/>
          <w:highlight w:val="none"/>
        </w:rPr>
        <w:t xml:space="preserve">甲方</w:t>
      </w:r>
      <w:r>
        <w:rPr>
          <w:rFonts w:ascii="宋体" w:hAnsi="宋体" w:cs="Arial"/>
          <w:color w:val="auto"/>
          <w:szCs w:val="21"/>
          <w:highlight w:val="none"/>
        </w:rPr>
        <w:t xml:space="preserve">对</w:t>
      </w:r>
      <w:r>
        <w:rPr>
          <w:rFonts w:hint="eastAsia" w:ascii="宋体" w:hAnsi="宋体" w:cs="Arial"/>
          <w:color w:val="auto"/>
          <w:szCs w:val="21"/>
          <w:highlight w:val="none"/>
        </w:rPr>
        <w:t xml:space="preserve">乙方</w:t>
      </w:r>
      <w:r>
        <w:rPr>
          <w:rFonts w:ascii="宋体" w:hAnsi="宋体" w:cs="Arial"/>
          <w:color w:val="auto"/>
          <w:szCs w:val="21"/>
          <w:highlight w:val="none"/>
        </w:rPr>
        <w:t xml:space="preserve">每月提供的</w:t>
      </w:r>
      <w:r>
        <w:rPr>
          <w:rFonts w:hint="eastAsia" w:ascii="宋体" w:hAnsi="宋体" w:cs="Arial"/>
          <w:color w:val="auto"/>
          <w:szCs w:val="21"/>
          <w:highlight w:val="none"/>
        </w:rPr>
        <w:t xml:space="preserve">质控检查</w:t>
      </w:r>
      <w:r>
        <w:rPr>
          <w:rFonts w:ascii="宋体" w:hAnsi="宋体" w:cs="Arial"/>
          <w:color w:val="auto"/>
          <w:szCs w:val="21"/>
          <w:highlight w:val="none"/>
        </w:rPr>
        <w:t xml:space="preserve">结果的评价，以及</w:t>
      </w:r>
      <w:r>
        <w:rPr>
          <w:rFonts w:hint="eastAsia" w:ascii="宋体" w:hAnsi="宋体" w:cs="Arial"/>
          <w:color w:val="auto"/>
          <w:szCs w:val="21"/>
          <w:highlight w:val="none"/>
        </w:rPr>
        <w:t xml:space="preserve">成交供应商</w:t>
      </w:r>
      <w:r>
        <w:rPr>
          <w:rFonts w:ascii="宋体" w:hAnsi="宋体" w:cs="Arial"/>
          <w:color w:val="auto"/>
          <w:szCs w:val="21"/>
          <w:highlight w:val="none"/>
        </w:rPr>
        <w:t xml:space="preserve">报送的各类记录</w:t>
      </w:r>
      <w:r>
        <w:rPr>
          <w:rFonts w:hint="eastAsia" w:ascii="宋体" w:hAnsi="宋体" w:cs="Arial"/>
          <w:color w:val="auto"/>
          <w:szCs w:val="21"/>
          <w:highlight w:val="none"/>
        </w:rPr>
        <w:t xml:space="preserve">、</w:t>
      </w:r>
      <w:r>
        <w:rPr>
          <w:rFonts w:ascii="宋体" w:hAnsi="宋体" w:cs="Arial"/>
          <w:color w:val="auto"/>
          <w:szCs w:val="21"/>
          <w:highlight w:val="none"/>
        </w:rPr>
        <w:t xml:space="preserve">报告</w:t>
      </w:r>
      <w:r>
        <w:rPr>
          <w:rFonts w:hint="eastAsia" w:ascii="宋体" w:hAnsi="宋体" w:cs="Arial"/>
          <w:color w:val="auto"/>
          <w:szCs w:val="21"/>
          <w:highlight w:val="none"/>
        </w:rPr>
        <w:t xml:space="preserve">等</w:t>
      </w:r>
      <w:r>
        <w:rPr>
          <w:rFonts w:ascii="宋体" w:hAnsi="宋体" w:cs="Arial"/>
          <w:color w:val="auto"/>
          <w:szCs w:val="21"/>
          <w:highlight w:val="none"/>
        </w:rPr>
        <w:t xml:space="preserve">支撑材料的质量。</w:t>
      </w:r>
      <w:r/>
    </w:p>
    <w:p>
      <w:pPr>
        <w:ind w:left="567" w:hanging="567"/>
        <w:spacing w:line="400" w:lineRule="exact"/>
        <w:shd w:val="clear" w:color="auto"/>
        <w:tabs>
          <w:tab w:val="left" w:pos="567" w:leader="none"/>
        </w:tabs>
        <w:rPr>
          <w:rFonts w:hint="eastAsia" w:ascii="宋体" w:hAnsi="宋体"/>
          <w:iCs/>
          <w:color w:val="auto"/>
          <w:szCs w:val="21"/>
          <w:highlight w:val="none"/>
        </w:rPr>
      </w:pPr>
      <w:r>
        <w:rPr>
          <w:rFonts w:hint="eastAsia" w:ascii="宋体" w:hAnsi="宋体"/>
          <w:iCs/>
          <w:color w:val="auto"/>
          <w:szCs w:val="21"/>
          <w:highlight w:val="none"/>
        </w:rPr>
        <w:t xml:space="preserve">4.7.2</w:t>
      </w:r>
      <w:r>
        <w:rPr>
          <w:rFonts w:ascii="宋体" w:hAnsi="宋体"/>
          <w:iCs/>
          <w:color w:val="auto"/>
          <w:szCs w:val="21"/>
          <w:highlight w:val="none"/>
        </w:rPr>
        <w:t xml:space="preserve">评价原则</w:t>
      </w:r>
      <w:r/>
    </w:p>
    <w:p>
      <w:pPr>
        <w:ind w:firstLine="420"/>
        <w:spacing w:line="400" w:lineRule="exact"/>
        <w:shd w:val="clear" w:color="auto"/>
        <w:tabs>
          <w:tab w:val="left" w:pos="567" w:leader="none"/>
        </w:tabs>
        <w:rPr>
          <w:rFonts w:hint="eastAsia" w:ascii="宋体" w:hAnsi="宋体" w:cs="Arial"/>
          <w:color w:val="auto"/>
          <w:szCs w:val="21"/>
          <w:highlight w:val="none"/>
        </w:rPr>
      </w:pPr>
      <w:r>
        <w:rPr>
          <w:rFonts w:ascii="宋体" w:hAnsi="宋体" w:cs="Arial"/>
          <w:color w:val="auto"/>
          <w:szCs w:val="21"/>
          <w:highlight w:val="none"/>
        </w:rPr>
        <w:t xml:space="preserve">考核结果与付费</w:t>
      </w:r>
      <w:r>
        <w:rPr>
          <w:rFonts w:hint="eastAsia" w:ascii="宋体" w:hAnsi="宋体" w:cs="Arial"/>
          <w:color w:val="auto"/>
          <w:szCs w:val="21"/>
          <w:highlight w:val="none"/>
        </w:rPr>
        <w:t xml:space="preserve">：按半年度进行考核，质控检查的所有正常运行的水质自动站为统计基础。</w:t>
      </w:r>
      <w:r/>
    </w:p>
    <w:p>
      <w:pPr>
        <w:numPr>
          <w:ilvl w:val="1"/>
          <w:numId w:val="65"/>
        </w:numPr>
        <w:contextualSpacing/>
        <w:ind w:left="854" w:hanging="287"/>
        <w:spacing w:line="400" w:lineRule="exact"/>
        <w:shd w:val="clear" w:color="auto"/>
        <w:tabs>
          <w:tab w:val="left" w:pos="840" w:leader="none"/>
        </w:tabs>
        <w:rPr>
          <w:rFonts w:hint="eastAsia" w:ascii="宋体" w:hAnsi="宋体" w:cs="Arial"/>
          <w:color w:val="auto"/>
          <w:szCs w:val="21"/>
          <w:highlight w:val="none"/>
        </w:rPr>
      </w:pPr>
      <w:r>
        <w:rPr>
          <w:rFonts w:hint="eastAsia" w:ascii="宋体" w:hAnsi="宋体" w:cs="Arial"/>
          <w:color w:val="auto"/>
          <w:szCs w:val="21"/>
          <w:highlight w:val="none"/>
        </w:rPr>
        <w:t xml:space="preserve">半年度内出现8个水质自动站未完成现场质控检查任务；每月采购人在6h内连续3次联系不上技术负责人或其指定的助理；出现1次未按时报送质控检查报告、盲样考核等报告；驻站人员工作日内未经许可未至指定办公场所3次；满足以上四条中一条，即为初级警告，扣除当合同总金额的10%，并责令整改；</w:t>
      </w:r>
      <w:r/>
    </w:p>
    <w:p>
      <w:pPr>
        <w:numPr>
          <w:ilvl w:val="1"/>
          <w:numId w:val="65"/>
        </w:numPr>
        <w:contextualSpacing/>
        <w:ind w:left="854" w:hanging="287"/>
        <w:spacing w:line="400" w:lineRule="exact"/>
        <w:shd w:val="clear" w:color="auto"/>
        <w:tabs>
          <w:tab w:val="left" w:pos="840" w:leader="none"/>
        </w:tabs>
        <w:rPr>
          <w:rFonts w:hint="eastAsia" w:ascii="宋体" w:hAnsi="宋体" w:cs="Arial"/>
          <w:color w:val="auto"/>
          <w:szCs w:val="21"/>
          <w:highlight w:val="none"/>
        </w:rPr>
      </w:pPr>
      <w:r>
        <w:rPr>
          <w:rFonts w:hint="eastAsia" w:ascii="宋体" w:hAnsi="宋体" w:cs="Arial"/>
          <w:color w:val="auto"/>
          <w:szCs w:val="21"/>
          <w:highlight w:val="none"/>
        </w:rPr>
        <w:t xml:space="preserve">半年内出现16个水质自动站未完成现场质控检查任务；每月采购人在6h内连续5次联系不上技术负责人或其指定的助理；出现2次未按时报送质控检查报告、盲样考核等报告；驻站人员工作日内未经许可未至指定办公场所6次；满足以上四条中一条，即为二级警告，扣除合同总金额的30%，并责令整改；</w:t>
      </w:r>
      <w:r/>
    </w:p>
    <w:p>
      <w:pPr>
        <w:numPr>
          <w:ilvl w:val="1"/>
          <w:numId w:val="65"/>
        </w:numPr>
        <w:contextualSpacing/>
        <w:ind w:left="854" w:hanging="287"/>
        <w:spacing w:line="400" w:lineRule="exact"/>
        <w:shd w:val="clear" w:color="auto"/>
        <w:tabs>
          <w:tab w:val="left" w:pos="840" w:leader="none"/>
        </w:tabs>
        <w:rPr>
          <w:rFonts w:hint="eastAsia" w:ascii="宋体" w:hAnsi="宋体" w:cs="宋体"/>
          <w:color w:val="auto"/>
          <w:szCs w:val="21"/>
          <w:highlight w:val="none"/>
        </w:rPr>
      </w:pPr>
      <w:r>
        <w:rPr>
          <w:rFonts w:hint="eastAsia" w:ascii="宋体" w:hAnsi="宋体" w:cs="Arial"/>
          <w:color w:val="auto"/>
          <w:szCs w:val="21"/>
          <w:highlight w:val="none"/>
        </w:rPr>
        <w:t xml:space="preserve">半年内出现27个水质自动站未完成现场质控检查任务；每月采购人在6h内连续10次联系不上技术负责人或其指定的助理；出现3次未按时报送质控检查报告、盲样考核等报告；驻站人员</w:t>
      </w:r>
      <w:r>
        <w:rPr>
          <w:rFonts w:ascii="宋体" w:hAnsi="宋体" w:cs="Arial"/>
          <w:color w:val="auto"/>
          <w:szCs w:val="21"/>
          <w:highlight w:val="none"/>
        </w:rPr>
        <w:t xml:space="preserve">工作日内</w:t>
      </w:r>
      <w:r>
        <w:rPr>
          <w:rFonts w:hint="eastAsia" w:ascii="宋体" w:hAnsi="宋体" w:cs="Arial"/>
          <w:color w:val="auto"/>
          <w:szCs w:val="21"/>
          <w:highlight w:val="none"/>
        </w:rPr>
        <w:t xml:space="preserve">未经</w:t>
      </w:r>
      <w:r>
        <w:rPr>
          <w:rFonts w:ascii="宋体" w:hAnsi="宋体" w:cs="Arial"/>
          <w:color w:val="auto"/>
          <w:szCs w:val="21"/>
          <w:highlight w:val="none"/>
        </w:rPr>
        <w:t xml:space="preserve">许可未至</w:t>
      </w:r>
      <w:r>
        <w:rPr>
          <w:rFonts w:hint="eastAsia" w:ascii="宋体" w:hAnsi="宋体" w:cs="Arial"/>
          <w:color w:val="auto"/>
          <w:szCs w:val="21"/>
          <w:highlight w:val="none"/>
        </w:rPr>
        <w:t xml:space="preserve">指定</w:t>
      </w:r>
      <w:r>
        <w:rPr>
          <w:rFonts w:ascii="宋体" w:hAnsi="宋体" w:cs="Arial"/>
          <w:color w:val="auto"/>
          <w:szCs w:val="21"/>
          <w:highlight w:val="none"/>
        </w:rPr>
        <w:t xml:space="preserve">办</w:t>
      </w:r>
      <w:r>
        <w:rPr>
          <w:rFonts w:hint="eastAsia" w:ascii="宋体" w:hAnsi="宋体" w:cs="宋体"/>
          <w:color w:val="auto"/>
          <w:szCs w:val="21"/>
          <w:highlight w:val="none"/>
        </w:rPr>
        <w:t xml:space="preserve">公场所10次；满足以上四条中一条，甲方有权单方解除合同，</w:t>
      </w:r>
      <w:r>
        <w:rPr>
          <w:rFonts w:hint="eastAsia" w:ascii="宋体" w:hAnsi="宋体" w:cs="Arial"/>
          <w:color w:val="auto"/>
          <w:szCs w:val="21"/>
          <w:highlight w:val="none"/>
        </w:rPr>
        <w:t xml:space="preserve">扣除合同总金额的50%，</w:t>
      </w:r>
      <w:r>
        <w:rPr>
          <w:rFonts w:hint="eastAsia" w:ascii="宋体" w:hAnsi="宋体" w:cs="宋体"/>
          <w:color w:val="auto"/>
          <w:szCs w:val="21"/>
          <w:highlight w:val="none"/>
        </w:rPr>
        <w:t xml:space="preserve">并要求乙方支付合同价款20%的违约金。</w:t>
      </w:r>
      <w:r/>
    </w:p>
    <w:p>
      <w:pPr>
        <w:numPr>
          <w:ilvl w:val="255"/>
          <w:numId w:val="0"/>
        </w:numPr>
        <w:contextualSpacing/>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4.8乙方无论因为何种原因，到达点位现场，但是没有完成质控检查任务的，扣除该水质自动站当次费用的三分之二。</w:t>
      </w:r>
      <w:r/>
    </w:p>
    <w:p>
      <w:pPr>
        <w:numPr>
          <w:ilvl w:val="255"/>
          <w:numId w:val="0"/>
        </w:numPr>
        <w:contextualSpacing/>
        <w:spacing w:line="400" w:lineRule="exact"/>
        <w:shd w:val="clear" w:color="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4.9乙方质控检查过程出现不符合技术要求的行为被质疑成功，或有非本项目人员开展质控检查任务的，发现以上行为，每5次扣除当年费用的10%，并责令整改。</w:t>
      </w:r>
      <w:r/>
    </w:p>
    <w:p>
      <w:pPr>
        <w:numPr>
          <w:ilvl w:val="255"/>
          <w:numId w:val="0"/>
        </w:numPr>
        <w:spacing w:line="400" w:lineRule="exact"/>
        <w:shd w:val="clear" w:color="auto"/>
        <w:tabs>
          <w:tab w:val="left" w:pos="540" w:leader="none"/>
          <w:tab w:val="left" w:pos="567" w:leader="none"/>
        </w:tabs>
        <w:rPr>
          <w:rFonts w:hint="eastAsia"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4.10省控水站质控点位根据</w:t>
      </w:r>
      <w:r>
        <w:rPr>
          <w:rFonts w:hint="eastAsia" w:ascii="宋体" w:hAnsi="宋体" w:cs="宋体"/>
          <w:bCs/>
          <w:color w:val="auto"/>
          <w:szCs w:val="21"/>
          <w:highlight w:val="none"/>
        </w:rPr>
        <w:t xml:space="preserve">优化监测点位和站</w:t>
      </w:r>
      <w:r>
        <w:rPr>
          <w:rFonts w:hint="eastAsia" w:ascii="宋体" w:hAnsi="宋体" w:cs="宋体"/>
          <w:color w:val="auto"/>
          <w:szCs w:val="21"/>
          <w:highlight w:val="none"/>
        </w:rPr>
        <w:t xml:space="preserve">点改造的需要，可能会作相应调整，结算规则是按月计提，按合同价款折算至每月每站。</w:t>
      </w:r>
      <w:r/>
    </w:p>
    <w:p>
      <w:pPr>
        <w:numPr>
          <w:ilvl w:val="0"/>
          <w:numId w:val="62"/>
        </w:numPr>
        <w:spacing w:line="400" w:lineRule="exact"/>
        <w:shd w:val="clear" w:color="auto"/>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保密要求</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乙方</w:t>
      </w:r>
      <w:r>
        <w:rPr>
          <w:rFonts w:hint="eastAsia" w:asciiTheme="minorEastAsia" w:hAnsiTheme="minorEastAsia" w:eastAsiaTheme="minorEastAsia"/>
          <w:bCs/>
          <w:color w:val="auto"/>
          <w:szCs w:val="21"/>
          <w:highlight w:val="none"/>
        </w:rPr>
        <w:t xml:space="preserve">及其工作人员除了应当遵守本合同有关资料及项目成果归属的规定外，还应当对项目实施过程中接触的所有资料及工作成果保密，未经甲方书面同意，乙方不得向甲方指定人员以外的其他单位和人员泄露上述资料及所涉成果或用于本合同以外的其他目的。</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62"/>
        </w:numPr>
        <w:spacing w:line="400" w:lineRule="exact"/>
        <w:shd w:val="clear" w:color="auto"/>
        <w:tabs>
          <w:tab w:val="left" w:pos="56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乙方及其</w:t>
      </w:r>
      <w:r>
        <w:rPr>
          <w:rFonts w:hint="eastAsia" w:cs="仿宋_GB2312" w:asciiTheme="minorEastAsia" w:hAnsiTheme="minorEastAsia" w:eastAsiaTheme="minorEastAsia"/>
          <w:color w:val="auto"/>
          <w:szCs w:val="21"/>
          <w:highlight w:val="none"/>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62"/>
        </w:numPr>
        <w:spacing w:line="400" w:lineRule="exact"/>
        <w:shd w:val="clear" w:color="auto"/>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甲方的权利和义务</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签署合同后，甲方应确定项目负责人（或项目联系人），负责与本合同有关的事务。甲方有权利对乙方的履约行为进行检查及考核，并及时确认乙方提交的事项。甲方应当配合乙方完成相关项目实施工作。</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甲方有权要求乙方按时提交各阶段有关安排计划，并有权定期考核乙方提供服务质量等内容。甲方有权督促乙方工作并要求乙方提供符合要求的服务。</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甲方有权要求乙方对不符合要求的服务进行修正，并按合同约定享有其他约定的权利。</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甲方应当按照合同约定及时对服务质量进行验收，未在合同约定的期限内对乙方履约提出任何异议或者向乙方作出任何说明的，视为验收通过。</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甲方应当根据合同约定及时向乙方支付合同价款，不得以内部人员变更，履行内部付款流程等为由拒绝或延迟支付。</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宋体" w:hAnsi="宋体" w:cs="宋体"/>
          <w:color w:val="auto"/>
          <w:szCs w:val="21"/>
          <w:highlight w:val="none"/>
        </w:rPr>
        <w:t xml:space="preserve">本项目实施过程中产生的所有数据、成果、报告的知识产权均归甲方所有。乙方不得向第三方提供或泄露。</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国家法律法规规定应由甲方承担的其他义务和责任。</w:t>
      </w:r>
      <w:r/>
    </w:p>
    <w:p>
      <w:pPr>
        <w:numPr>
          <w:ilvl w:val="0"/>
          <w:numId w:val="62"/>
        </w:numPr>
        <w:spacing w:line="400" w:lineRule="exact"/>
        <w:shd w:val="clear" w:color="auto"/>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乙方的权利和义务</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签署合同后，乙方应确定项目负责人或（或项目联系人）负责与本合同有关的事务。</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乙方负责完成本次采购要求的全部服务工作，乙方应按照采购文件和乙方在响应文件中承诺的服务以及合同约定的技术规范、标准进行实施，并保证按期、保质保量完成项目的实施工作，对提交的项目质量负责。</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乙方应按照合同要求履约充分合理安排，确保提供的服务符合合同有关要求，接受项目行业管理部门及政府有关部门的指导。配合甲方的履约验收及检查，并负责项目实施过程中的所有协调工作。</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乙方有权根据合同约定向甲方收取合同价款。</w:t>
      </w:r>
      <w:r/>
    </w:p>
    <w:p>
      <w:pPr>
        <w:numPr>
          <w:ilvl w:val="1"/>
          <w:numId w:val="62"/>
        </w:numPr>
        <w:spacing w:line="400" w:lineRule="exact"/>
        <w:shd w:val="clear" w:color="auto"/>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国家法律法规规定应由乙方承担的其他义务和责任。</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62"/>
        </w:numPr>
        <w:spacing w:line="400" w:lineRule="exact"/>
        <w:shd w:val="clear" w:color="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甲方违约责任及违约金支付：</w:t>
      </w:r>
      <w:r/>
    </w:p>
    <w:p>
      <w:pPr>
        <w:numPr>
          <w:ilvl w:val="0"/>
          <w:numId w:val="66"/>
        </w:num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olor w:val="auto"/>
          <w:szCs w:val="21"/>
          <w:highlight w:val="none"/>
        </w:rPr>
        <w:t xml:space="preserve">在</w:t>
      </w:r>
      <w:r>
        <w:rPr>
          <w:rFonts w:hint="eastAsia" w:ascii="宋体" w:hAnsi="宋体" w:cs="仿宋_GB2312"/>
          <w:color w:val="auto"/>
          <w:szCs w:val="21"/>
          <w:highlight w:val="none"/>
        </w:rPr>
        <w:t xml:space="preserve">合同生效后，甲方无理由要求终止服务的，应向乙方偿付合同总价款的5%作为违约金。</w:t>
      </w:r>
      <w:r/>
    </w:p>
    <w:p>
      <w:pPr>
        <w:numPr>
          <w:ilvl w:val="0"/>
          <w:numId w:val="66"/>
        </w:numPr>
        <w:ind w:left="1080" w:right="-153" w:hanging="540"/>
        <w:spacing w:line="400" w:lineRule="exact"/>
        <w:shd w:val="clear" w:color="auto"/>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甲方</w:t>
      </w:r>
      <w:r>
        <w:rPr>
          <w:rFonts w:hint="eastAsia" w:ascii="宋体" w:hAnsi="宋体"/>
          <w:color w:val="auto"/>
          <w:szCs w:val="21"/>
          <w:highlight w:val="none"/>
        </w:rPr>
        <w:t xml:space="preserve">违反合同规定，拒绝接受乙方提供服务，应当承担乙方由此造成的损失。</w:t>
      </w:r>
      <w:r>
        <w:rPr>
          <w:rFonts w:hint="eastAsia" w:ascii="宋体" w:hAnsi="宋体" w:cs="仿宋_GB2312"/>
          <w:color w:val="auto"/>
          <w:szCs w:val="21"/>
          <w:highlight w:val="none"/>
        </w:rPr>
        <w:t xml:space="preserve">                                       </w:t>
      </w:r>
      <w:r/>
    </w:p>
    <w:p>
      <w:pPr>
        <w:numPr>
          <w:ilvl w:val="1"/>
          <w:numId w:val="62"/>
        </w:numPr>
        <w:spacing w:line="400" w:lineRule="exact"/>
        <w:shd w:val="clear" w:color="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乙方违约责任及违约金支付：</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（1）乙方不能提供服务的</w:t>
      </w:r>
      <w:r>
        <w:rPr>
          <w:rFonts w:hint="eastAsia" w:ascii="宋体" w:hAnsi="宋体"/>
          <w:color w:val="auto"/>
          <w:szCs w:val="21"/>
          <w:highlight w:val="none"/>
        </w:rPr>
        <w:t xml:space="preserve">，或服务不合格的，应向甲方偿付合同总价款5%的违约金，</w:t>
      </w:r>
      <w:r>
        <w:rPr>
          <w:rFonts w:hint="eastAsia" w:ascii="宋体" w:hAnsi="宋体" w:cs="仿宋_GB2312"/>
          <w:color w:val="auto"/>
          <w:szCs w:val="21"/>
          <w:highlight w:val="none"/>
        </w:rPr>
        <w:t xml:space="preserve">违约金不足以补偿损失的甲方有权要求乙方补足。</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（2）乙方逾期提供服务的，应与甲方和采购管理部门协商，甲方仍需求的，乙方应立即提供服务按照逾期服务的每天万分之四支付逾期违约金，同时承担甲方因此遭致的损失费用。</w:t>
      </w:r>
      <w:r>
        <w:rPr>
          <w:rFonts w:hint="eastAsia" w:ascii="宋体" w:hAnsi="宋体" w:cs="宋体"/>
          <w:color w:val="auto"/>
          <w:szCs w:val="21"/>
          <w:highlight w:val="none"/>
        </w:rPr>
        <w:t xml:space="preserve">逾期超过15日的，甲方有权单方解除合同并要求乙方支付合同总金额20%的违约金。若该违约金不足以弥补甲方损失的，甲方有权要求乙方赔偿全部损失。</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（3）乙方拒不补足履约保证金的，应当向甲方支付欠补金额的20%作为违约金，同时应当继续补足。</w:t>
      </w:r>
      <w:r/>
    </w:p>
    <w:p>
      <w:pPr>
        <w:ind w:left="1080" w:right="-153" w:hanging="540"/>
        <w:jc w:val="left"/>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（4）如果乙方关键岗位人员或队伍发生重大变更，无法按质开展质控检查任务，或者发生重大责任事故的，甲方有权单方解除合同，并要求乙方支付合同价款20%的违约金。</w:t>
      </w:r>
      <w:r/>
    </w:p>
    <w:p>
      <w:pPr>
        <w:ind w:left="1080" w:right="-153" w:hanging="540"/>
        <w:jc w:val="left"/>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宋体"/>
          <w:color w:val="auto"/>
          <w:szCs w:val="21"/>
          <w:highlight w:val="none"/>
        </w:rPr>
        <w:t xml:space="preserve">（5）乙方应能保证所提供的报告及其他服务涉及到的知识产权是合法取得，不会因为甲方的使用而被责令停止使用、追偿或要求赔偿损失，如出现此情况，一切经济和法律责任均由乙方承担。如涉嫌侵犯第三方知识产权，导致甲方被第三方主张权利或提起诉讼、仲裁，或被行政机关调查、处罚的，乙方应负责处理并承担由此产生的一切法律责任及经济损失。若因此造成甲方损失的，甲方有权要</w:t>
      </w:r>
      <w:r>
        <w:rPr>
          <w:rFonts w:hint="eastAsia" w:ascii="宋体" w:hAnsi="宋体" w:cs="仿宋_GB2312"/>
          <w:color w:val="auto"/>
          <w:szCs w:val="21"/>
          <w:highlight w:val="none"/>
        </w:rPr>
        <w:t xml:space="preserve">求乙方赔偿全部的损失，包括但不限于甲方先行向第三方赔付的费用、为此而支出的律师费、诉讼费、鉴定费、评估费、差旅费等各项费用。</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（6）乙方应执行国家有关规定（如苏州最低工资标准和其他规定），负责乙方员工的薪资报酬、生病、安全事故、伤残、死亡和劳务纠纷，甲方对此不承担任何相关责任。</w:t>
      </w:r>
      <w:r/>
    </w:p>
    <w:p>
      <w:pPr>
        <w:ind w:left="1080" w:right="-153" w:hanging="540"/>
        <w:jc w:val="left"/>
        <w:spacing w:line="400" w:lineRule="exact"/>
        <w:shd w:val="clear" w:color="auto"/>
        <w:tabs>
          <w:tab w:val="left" w:pos="1080" w:leader="none"/>
        </w:tabs>
        <w:rPr>
          <w:rFonts w:hint="eastAsia" w:ascii="宋体" w:hAnsi="宋体" w:cs="宋体"/>
          <w:color w:val="auto"/>
          <w:szCs w:val="21"/>
          <w:highlight w:val="none"/>
        </w:rPr>
      </w:pPr>
      <w:r>
        <w:rPr>
          <w:rFonts w:hint="eastAsia" w:ascii="宋体" w:hAnsi="宋体" w:cs="仿宋_GB2312"/>
          <w:color w:val="auto"/>
          <w:szCs w:val="21"/>
          <w:highlight w:val="none"/>
        </w:rPr>
        <w:t xml:space="preserve">（7）如乙方（包括但不限于乙方的员工、代理人及与乙方有其他关系的人员）提供服务时，因其自身原因造成甲方或第三方人身伤亡、财产损失而使甲方遭受任何索赔、开支、诉讼、债务的损失，乙方应负责足额赔偿，以保障甲方不因此遭受任何损失。甲方先行赔偿的，有权向乙方追偿。</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（8）因乙方原因导致甲方需采取诉讼/仲裁方式维护自身权利的，甲方因此支出的诉讼费、保全费、律师费、差旅费、鉴定费等全部费用均由乙方承担。</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（9）乙方提前解除本合同或因乙方原因导致甲方单方解除本合同的，甲方有权要求乙方退还甲方已支付的合同价款。</w:t>
      </w:r>
      <w:r/>
    </w:p>
    <w:p>
      <w:pPr>
        <w:ind w:left="1080" w:right="-153" w:hanging="540"/>
        <w:spacing w:line="400" w:lineRule="exact"/>
        <w:shd w:val="clear" w:color="auto"/>
        <w:tabs>
          <w:tab w:val="left" w:pos="1080"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（10）采购文件规定的其他违约责任。</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rPr>
          <w:rFonts w:ascii="Times New Roman" w:hAnsi="Times New Roman"/>
          <w:color w:val="auto"/>
          <w:highlight w:val="none"/>
        </w:rPr>
        <w:t xml:space="preserve">否则，乙方</w:t>
      </w:r>
      <w:r>
        <w:rPr>
          <w:rFonts w:hint="eastAsia" w:ascii="Times New Roman" w:hAnsi="Times New Roman"/>
          <w:color w:val="auto"/>
          <w:highlight w:val="none"/>
        </w:rPr>
        <w:t xml:space="preserve">应</w:t>
      </w:r>
      <w:r>
        <w:rPr>
          <w:rFonts w:ascii="Times New Roman" w:hAnsi="Times New Roman"/>
          <w:color w:val="auto"/>
          <w:highlight w:val="none"/>
        </w:rPr>
        <w:t xml:space="preserve">向甲方</w:t>
      </w:r>
      <w:r>
        <w:rPr>
          <w:rFonts w:hint="eastAsia" w:ascii="Times New Roman" w:hAnsi="Times New Roman"/>
          <w:color w:val="auto"/>
          <w:highlight w:val="none"/>
        </w:rPr>
        <w:t xml:space="preserve">支付</w:t>
      </w:r>
      <w:r>
        <w:rPr>
          <w:rFonts w:ascii="Times New Roman" w:hAnsi="Times New Roman"/>
          <w:color w:val="auto"/>
          <w:highlight w:val="none"/>
        </w:rPr>
        <w:t xml:space="preserve">合同总价款5%的违约金，违约金不足以补偿损失的甲方有权要求乙方补足。</w:t>
      </w:r>
      <w:r>
        <w:rPr>
          <w:rFonts w:hint="eastAsia" w:ascii="Times New Roman" w:hAnsi="Times New Roman"/>
          <w:color w:val="auto"/>
          <w:highlight w:val="none"/>
        </w:rPr>
        <w:t xml:space="preserve">除此之外，甲方有权单方解除合同，并要求乙方向甲方退还已支付的合同价款。</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67"/>
        </w:numPr>
        <w:ind w:left="1080" w:right="-153" w:hanging="540"/>
        <w:spacing w:line="400" w:lineRule="exact"/>
        <w:shd w:val="clear" w:color="auto"/>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67"/>
        </w:numPr>
        <w:ind w:left="1080" w:right="-153" w:hanging="540"/>
        <w:spacing w:line="400" w:lineRule="exact"/>
        <w:shd w:val="clear" w:color="auto"/>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62"/>
        </w:numPr>
        <w:spacing w:line="400" w:lineRule="exact"/>
        <w:shd w:val="clear" w:color="auto"/>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shd w:val="clear" w:color="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shd w:val="clear" w:color="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62"/>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62"/>
        </w:numPr>
        <w:spacing w:line="400" w:lineRule="exact"/>
        <w:shd w:val="clear" w:color="auto"/>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shd w:val="clear" w:color="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firstLine="420"/>
        <w:spacing w:line="400" w:lineRule="exact"/>
        <w:shd w:val="clear" w:color="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62"/>
        </w:numPr>
        <w:spacing w:line="400" w:lineRule="exact"/>
        <w:shd w:val="clear" w:color="auto"/>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shd w:val="clear" w:color="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五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两 </w:t>
      </w:r>
      <w:r>
        <w:rPr>
          <w:rFonts w:hint="eastAsia" w:ascii="宋体" w:hAnsi="宋体" w:cs="仿宋_GB2312"/>
          <w:color w:val="auto"/>
          <w:szCs w:val="21"/>
          <w:highlight w:val="none"/>
        </w:rPr>
        <w:t xml:space="preserve">份，采购代理机构一份。</w:t>
      </w:r>
      <w:bookmarkEnd w:id="39"/>
      <w:r/>
      <w:r/>
    </w:p>
    <w:p>
      <w:pPr>
        <w:jc w:val="center"/>
        <w:spacing w:line="360" w:lineRule="auto"/>
        <w:shd w:val="clear" w:color="auto"/>
        <w:rPr>
          <w:rFonts w:hint="eastAsia" w:ascii="宋体" w:hAnsi="宋体"/>
          <w:b/>
          <w:color w:val="auto"/>
          <w:sz w:val="32"/>
          <w:highlight w:val="none"/>
        </w:rPr>
        <w:outlineLvl w:val="0"/>
      </w:pPr>
      <w:r>
        <w:rPr>
          <w:rFonts w:ascii="宋体" w:hAnsi="宋体"/>
          <w:b/>
          <w:color w:val="auto"/>
          <w:sz w:val="32"/>
          <w:highlight w:val="none"/>
        </w:rPr>
        <w:br w:type="page" w:clear="all"/>
      </w:r>
      <w:r>
        <w:rPr>
          <w:rFonts w:hint="eastAsia" w:ascii="宋体" w:hAnsi="宋体"/>
          <w:b/>
          <w:color w:val="auto"/>
          <w:sz w:val="32"/>
          <w:highlight w:val="none"/>
        </w:rPr>
        <w:t xml:space="preserve">五、附 件</w:t>
      </w:r>
      <w:r/>
    </w:p>
    <w:p>
      <w:pPr>
        <w:shd w:val="clear" w:color="auto"/>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shd w:val="clear" w:color="auto"/>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988"/>
        <w:jc w:val="both"/>
        <w:spacing w:line="360" w:lineRule="auto"/>
        <w:shd w:val="clear" w:color="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苏州市原鑫招投标咨询服务有限公司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JSZC-320500-SZYX-C2025-0078</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shd w:val="clear" w:color="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pStyle w:val="988"/>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88"/>
        <w:ind w:firstLine="0"/>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8"/>
        <w:ind w:firstLine="0"/>
        <w:shd w:val="clear" w:color="auto"/>
        <w:rPr>
          <w:rFonts w:hint="eastAsia" w:ascii="宋体" w:hAnsi="宋体" w:eastAsia="宋体"/>
          <w:color w:val="auto"/>
          <w:highlight w:val="none"/>
        </w:rPr>
      </w:pPr>
      <w:r>
        <w:rPr>
          <w:rFonts w:hint="eastAsia" w:ascii="宋体" w:hAnsi="宋体" w:eastAsia="宋体"/>
          <w:color w:val="auto"/>
          <w:highlight w:val="none"/>
        </w:rPr>
      </w:r>
      <w:r/>
    </w:p>
    <w:p>
      <w:pPr>
        <w:ind w:firstLine="48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t xml:space="preserve">后附身份证</w:t>
      </w:r>
      <w:r/>
    </w:p>
    <w:p>
      <w:pPr>
        <w:jc w:val="left"/>
        <w:shd w:val="clear" w:color="auto"/>
        <w:widowControl/>
        <w:rPr>
          <w:rFonts w:hint="eastAsia" w:ascii="宋体" w:hAnsi="宋体"/>
          <w:color w:val="auto"/>
          <w:sz w:val="28"/>
          <w:szCs w:val="20"/>
          <w:highlight w:val="none"/>
        </w:rPr>
      </w:pPr>
      <w:r>
        <w:rPr>
          <w:rFonts w:hAnsi="宋体"/>
          <w:color w:val="auto"/>
          <w:highlight w:val="none"/>
        </w:rPr>
        <w:br w:type="page" w:clear="all"/>
      </w:r>
      <w:r/>
    </w:p>
    <w:p>
      <w:pPr>
        <w:pStyle w:val="998"/>
        <w:spacing w:line="380" w:lineRule="exact"/>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998"/>
        <w:jc w:val="center"/>
        <w:spacing w:line="380" w:lineRule="exact"/>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98"/>
        <w:jc w:val="center"/>
        <w:spacing w:line="380" w:lineRule="exact"/>
        <w:shd w:val="clear" w:color="auto"/>
        <w:rPr>
          <w:rFonts w:hint="eastAsia" w:hAnsi="宋体" w:eastAsia="宋体"/>
          <w:color w:val="auto"/>
          <w:sz w:val="24"/>
          <w:highlight w:val="none"/>
        </w:rPr>
      </w:pPr>
      <w:r>
        <w:rPr>
          <w:rFonts w:hint="eastAsia" w:hAnsi="宋体" w:eastAsia="宋体"/>
          <w:color w:val="auto"/>
          <w:sz w:val="24"/>
          <w:highlight w:val="none"/>
        </w:rPr>
      </w:r>
      <w:r/>
    </w:p>
    <w:p>
      <w:pPr>
        <w:pStyle w:val="998"/>
        <w:spacing w:line="380" w:lineRule="exact"/>
        <w:shd w:val="clear" w:color="auto"/>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98"/>
        <w:spacing w:line="38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JSZC-320500-SZYX-C2025-0078</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163"/>
        <w:ind w:firstLine="420"/>
        <w:spacing w:line="360" w:lineRule="auto"/>
        <w:shd w:val="clear" w:color="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63"/>
        <w:ind w:firstLine="420"/>
        <w:spacing w:line="360" w:lineRule="auto"/>
        <w:shd w:val="clear" w:color="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63"/>
        <w:ind w:firstLine="420"/>
        <w:spacing w:line="360" w:lineRule="auto"/>
        <w:shd w:val="clear" w:color="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5、我们愿意提供磋商采购单位在磋商文件中要求的相关资料。</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63"/>
        <w:ind w:firstLine="420"/>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63"/>
        <w:ind w:left="3399" w:firstLine="735"/>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63"/>
        <w:ind w:left="3824" w:firstLine="315"/>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63"/>
        <w:ind w:left="3399" w:firstLine="735"/>
        <w:spacing w:line="360" w:lineRule="auto"/>
        <w:shd w:val="clear" w:color="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8"/>
        <w:shd w:val="clear" w:color="auto"/>
        <w:rPr>
          <w:rFonts w:hint="eastAsia"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pStyle w:val="1163"/>
        <w:jc w:val="center"/>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1163"/>
        <w:jc w:val="center"/>
        <w:shd w:val="clear" w:color="auto"/>
        <w:rPr>
          <w:rFonts w:hint="eastAsia" w:hAnsi="宋体" w:eastAsia="宋体"/>
          <w:b/>
          <w:color w:val="auto"/>
          <w:sz w:val="21"/>
          <w:szCs w:val="21"/>
          <w:highlight w:val="none"/>
        </w:rPr>
      </w:pPr>
      <w:r>
        <w:rPr>
          <w:rFonts w:hint="eastAsia" w:hAnsi="宋体" w:eastAsia="宋体"/>
          <w:b/>
          <w:color w:val="auto"/>
          <w:sz w:val="21"/>
          <w:szCs w:val="21"/>
          <w:highlight w:val="none"/>
        </w:rPr>
      </w:r>
      <w:r/>
    </w:p>
    <w:tbl>
      <w:tblPr>
        <w:tblStyle w:val="979"/>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hd w:val="clear" w:color="auto"/>
              <w:rPr>
                <w:rFonts w:cs="宋体"/>
                <w:color w:val="auto"/>
                <w:highlight w:val="none"/>
              </w:rPr>
            </w:pPr>
            <w:r>
              <w:rPr>
                <w:rFonts w:hint="eastAsia"/>
                <w:color w:val="auto"/>
                <w:highlight w:val="none"/>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shd w:val="clear" w:color="auto"/>
              <w:widowControl/>
              <w:rPr>
                <w:rFonts w:cs="宋体"/>
                <w:color w:val="auto"/>
                <w:highlight w:val="none"/>
              </w:rPr>
            </w:pPr>
            <w:r>
              <w:rPr>
                <w:rFonts w:hint="eastAsia" w:cs="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shd w:val="clear" w:color="auto"/>
              <w:widowControl/>
              <w:rPr>
                <w:rFonts w:cs="宋体"/>
                <w:bCs/>
                <w:color w:val="auto"/>
                <w:highlight w:val="none"/>
              </w:rPr>
            </w:pPr>
            <w:r>
              <w:rPr>
                <w:rFonts w:hint="eastAsia" w:cs="宋体"/>
                <w:bCs/>
                <w:color w:val="auto"/>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shd w:val="clear" w:color="auto"/>
              <w:widowControl/>
              <w:rPr>
                <w:rFonts w:cs="宋体"/>
                <w:color w:val="auto"/>
                <w:highlight w:val="none"/>
              </w:rPr>
            </w:pPr>
            <w:r>
              <w:rPr>
                <w:rFonts w:cs="宋体"/>
                <w:color w:val="auto"/>
                <w:highlight w:val="none"/>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shd w:val="clear" w:color="auto"/>
              <w:widowControl/>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shd w:val="clear" w:color="auto"/>
              <w:widowControl/>
              <w:rPr>
                <w:rFonts w:cs="宋体"/>
                <w:color w:val="auto"/>
                <w:highlight w:val="none"/>
              </w:rPr>
            </w:pPr>
            <w:r>
              <w:rPr>
                <w:rFonts w:cs="宋体"/>
                <w:color w:val="auto"/>
                <w:highlight w:val="none"/>
              </w:rPr>
            </w:r>
            <w:r/>
          </w:p>
        </w:tc>
      </w:tr>
    </w:tbl>
    <w:p>
      <w:pPr>
        <w:pStyle w:val="1163"/>
        <w:spacing w:line="360" w:lineRule="exact"/>
        <w:shd w:val="clear" w:color="auto"/>
        <w:rPr>
          <w:rFonts w:hint="eastAsia" w:hAnsi="宋体" w:eastAsia="宋体"/>
          <w:color w:val="auto"/>
          <w:spacing w:val="20"/>
          <w:sz w:val="21"/>
          <w:szCs w:val="21"/>
          <w:highlight w:val="none"/>
        </w:rPr>
      </w:pPr>
      <w:r>
        <w:rPr>
          <w:rFonts w:hAnsi="宋体" w:eastAsia="宋体"/>
          <w:color w:val="auto"/>
          <w:spacing w:val="20"/>
          <w:sz w:val="21"/>
          <w:szCs w:val="21"/>
          <w:highlight w:val="none"/>
        </w:rPr>
        <w:t xml:space="preserve"> </w:t>
      </w:r>
      <w:r/>
    </w:p>
    <w:p>
      <w:pPr>
        <w:pStyle w:val="1163"/>
        <w:ind w:firstLine="567"/>
        <w:spacing w:line="360" w:lineRule="exact"/>
        <w:shd w:val="clear" w:color="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63"/>
        <w:ind w:firstLine="525"/>
        <w:spacing w:line="36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3"/>
        <w:ind w:firstLine="525"/>
        <w:spacing w:line="360" w:lineRule="exact"/>
        <w:shd w:val="clear" w:color="auto"/>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注：本项目按完成项目的总价进行报价。</w:t>
      </w:r>
      <w:r/>
    </w:p>
    <w:p>
      <w:pPr>
        <w:pStyle w:val="1163"/>
        <w:ind w:firstLine="525"/>
        <w:spacing w:line="36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3"/>
        <w:ind w:firstLine="525"/>
        <w:spacing w:line="36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63"/>
        <w:ind w:firstLine="525"/>
        <w:spacing w:line="36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80" w:lineRule="auto"/>
        <w:shd w:val="clear" w:color="auto"/>
        <w:rPr>
          <w:rFonts w:hint="eastAsia" w:ascii="宋体" w:hAnsi="宋体" w:cs="宋体"/>
          <w:color w:val="auto"/>
          <w:szCs w:val="21"/>
          <w:highlight w:val="none"/>
        </w:rPr>
      </w:pPr>
      <w:r>
        <w:rPr>
          <w:rFonts w:hint="eastAsia" w:ascii="宋体" w:hAnsi="宋体" w:cs="宋体"/>
          <w:b/>
          <w:bCs/>
          <w:color w:val="auto"/>
          <w:szCs w:val="21"/>
          <w:highlight w:val="none"/>
        </w:rPr>
        <w:t xml:space="preserve">磋商分项报价明细表</w:t>
      </w:r>
      <w:r/>
    </w:p>
    <w:p>
      <w:pPr>
        <w:ind w:firstLine="424"/>
        <w:jc w:val="left"/>
        <w:spacing w:line="400" w:lineRule="exact"/>
        <w:shd w:val="clear" w:color="auto"/>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979"/>
        <w:tblW w:w="9135"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367"/>
        <w:gridCol w:w="2671"/>
        <w:gridCol w:w="1160"/>
        <w:gridCol w:w="1566"/>
        <w:gridCol w:w="1680"/>
      </w:tblGrid>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1367"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267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1160"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566"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680"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367"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671"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116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566"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68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367"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671"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116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566"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68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367"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671"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116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566"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68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367"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671"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116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566"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68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right w:val="single" w:color="auto" w:sz="4" w:space="0"/>
            </w:tcBorders>
            <w:tcW w:w="1367"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671" w:type="dxa"/>
            <w:vAlign w:val="center"/>
            <w:textDirection w:val="lrTb"/>
            <w:noWrap w:val="false"/>
          </w:tcPr>
          <w:p>
            <w:pPr>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116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566"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680"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135" w:type="dxa"/>
            <w:vAlign w:val="center"/>
            <w:textDirection w:val="lrTb"/>
            <w:noWrap w:val="false"/>
          </w:tcPr>
          <w:p>
            <w:pPr>
              <w:ind w:firstLine="420"/>
              <w:spacing w:line="440" w:lineRule="exact"/>
              <w:shd w:val="clear" w:color="auto"/>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ind w:firstLine="420"/>
        <w:jc w:val="left"/>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pStyle w:val="1163"/>
        <w:ind w:firstLine="567"/>
        <w:spacing w:line="360" w:lineRule="exact"/>
        <w:shd w:val="clear" w:color="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63"/>
        <w:ind w:firstLine="525"/>
        <w:spacing w:line="360" w:lineRule="exact"/>
        <w:shd w:val="clear" w:color="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88"/>
        <w:ind w:firstLine="0"/>
        <w:spacing w:line="360" w:lineRule="exact"/>
        <w:shd w:val="clear" w:color="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8"/>
        <w:ind w:firstLine="0"/>
        <w:spacing w:line="360" w:lineRule="exact"/>
        <w:shd w:val="clear" w:color="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8"/>
        <w:ind w:firstLine="0"/>
        <w:spacing w:line="360" w:lineRule="exact"/>
        <w:shd w:val="clear" w:color="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8"/>
        <w:shd w:val="clear" w:color="auto"/>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shd w:val="clear" w:color="auto"/>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shd w:val="clear" w:color="auto"/>
        <w:rPr>
          <w:rFonts w:hint="eastAsia"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979"/>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988"/>
              <w:ind w:left="54" w:firstLine="0"/>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88"/>
              <w:ind w:firstLine="0"/>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88"/>
              <w:ind w:firstLine="0"/>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988"/>
              <w:ind w:firstLine="0"/>
              <w:jc w:val="center"/>
              <w:spacing w:line="360" w:lineRule="auto"/>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shd w:val="clear" w:color="auto"/>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8"/>
              <w:ind w:firstLine="699"/>
              <w:jc w:val="center"/>
              <w:spacing w:line="360" w:lineRule="auto"/>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shd w:val="clear" w:color="auto"/>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shd w:val="clear" w:color="auto"/>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shd w:val="clear" w:color="auto"/>
        <w:rPr>
          <w:rFonts w:hint="eastAsia" w:hAnsi="宋体"/>
          <w:b/>
          <w:color w:val="auto"/>
          <w:szCs w:val="21"/>
          <w:highlight w:val="none"/>
        </w:rPr>
      </w:pPr>
      <w:r>
        <w:rPr>
          <w:rFonts w:hint="eastAsia" w:hAnsi="宋体"/>
          <w:b/>
          <w:color w:val="auto"/>
          <w:szCs w:val="21"/>
          <w:highlight w:val="none"/>
        </w:rPr>
      </w:r>
      <w:r/>
    </w:p>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shd w:val="clear" w:color="auto"/>
        <w:rPr>
          <w:rFonts w:hint="eastAsia"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9"/>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hd w:val="clear" w:color="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shd w:val="clear" w:color="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88"/>
        <w:ind w:firstLine="0"/>
        <w:spacing w:line="400" w:lineRule="exact"/>
        <w:shd w:val="clear" w:color="auto"/>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附件6、配备人员一览表</w:t>
      </w:r>
      <w:r/>
    </w:p>
    <w:p>
      <w:pPr>
        <w:jc w:val="center"/>
        <w:spacing w:line="360" w:lineRule="auto"/>
        <w:shd w:val="clear" w:color="auto"/>
        <w:rPr>
          <w:rFonts w:ascii="宋体" w:hAnsi="Courier New"/>
          <w:b/>
          <w:color w:val="auto"/>
          <w:szCs w:val="21"/>
          <w:highlight w:val="none"/>
        </w:rPr>
      </w:pPr>
      <w:r>
        <w:rPr>
          <w:rFonts w:hint="eastAsia" w:ascii="宋体" w:hAnsi="Courier New"/>
          <w:b/>
          <w:color w:val="auto"/>
          <w:szCs w:val="21"/>
          <w:highlight w:val="none"/>
        </w:rPr>
        <w:t xml:space="preserve">配备人员一览表</w:t>
      </w:r>
      <w:r/>
    </w:p>
    <w:tbl>
      <w:tblPr>
        <w:tblStyle w:val="979"/>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shd w:val="clear" w:color="auto"/>
              <w:rPr>
                <w:color w:val="auto"/>
                <w:szCs w:val="21"/>
                <w:highlight w:val="none"/>
              </w:rPr>
            </w:pPr>
            <w:r>
              <w:rPr>
                <w:rFonts w:hint="eastAsia"/>
                <w:color w:val="auto"/>
                <w:szCs w:val="21"/>
                <w:highlight w:val="none"/>
              </w:rPr>
              <w:t xml:space="preserve">序号</w:t>
            </w:r>
            <w:r/>
          </w:p>
        </w:tc>
        <w:tc>
          <w:tcPr>
            <w:tcW w:w="788" w:type="dxa"/>
            <w:vAlign w:val="center"/>
            <w:textDirection w:val="lrTb"/>
            <w:noWrap w:val="false"/>
          </w:tcPr>
          <w:p>
            <w:pPr>
              <w:jc w:val="center"/>
              <w:shd w:val="clear" w:color="auto"/>
              <w:rPr>
                <w:color w:val="auto"/>
                <w:szCs w:val="21"/>
                <w:highlight w:val="none"/>
              </w:rPr>
            </w:pPr>
            <w:r>
              <w:rPr>
                <w:rFonts w:cs="Arial"/>
                <w:color w:val="auto"/>
                <w:szCs w:val="21"/>
                <w:highlight w:val="none"/>
              </w:rPr>
              <w:t xml:space="preserve">姓名</w:t>
            </w:r>
            <w:r/>
          </w:p>
        </w:tc>
        <w:tc>
          <w:tcPr>
            <w:tcW w:w="851" w:type="dxa"/>
            <w:vAlign w:val="center"/>
            <w:textDirection w:val="lrTb"/>
            <w:noWrap w:val="false"/>
          </w:tcPr>
          <w:p>
            <w:pPr>
              <w:jc w:val="center"/>
              <w:shd w:val="clear" w:color="auto"/>
              <w:rPr>
                <w:color w:val="auto"/>
                <w:szCs w:val="21"/>
                <w:highlight w:val="none"/>
              </w:rPr>
            </w:pPr>
            <w:r>
              <w:rPr>
                <w:rFonts w:cs="Arial"/>
                <w:color w:val="auto"/>
                <w:szCs w:val="21"/>
                <w:highlight w:val="none"/>
              </w:rPr>
              <w:t xml:space="preserve">在本项目中的职位</w:t>
            </w:r>
            <w:r/>
          </w:p>
        </w:tc>
        <w:tc>
          <w:tcPr>
            <w:tcW w:w="850" w:type="dxa"/>
            <w:vAlign w:val="center"/>
            <w:textDirection w:val="lrTb"/>
            <w:noWrap w:val="false"/>
          </w:tcPr>
          <w:p>
            <w:pPr>
              <w:jc w:val="center"/>
              <w:shd w:val="clear" w:color="auto"/>
              <w:rPr>
                <w:color w:val="auto"/>
                <w:szCs w:val="21"/>
                <w:highlight w:val="none"/>
              </w:rPr>
            </w:pPr>
            <w:r>
              <w:rPr>
                <w:rFonts w:cs="Arial"/>
                <w:color w:val="auto"/>
                <w:szCs w:val="21"/>
                <w:highlight w:val="none"/>
              </w:rPr>
              <w:t xml:space="preserve">年龄</w:t>
            </w:r>
            <w:r/>
          </w:p>
        </w:tc>
        <w:tc>
          <w:tcPr>
            <w:tcW w:w="850" w:type="dxa"/>
            <w:vAlign w:val="center"/>
            <w:textDirection w:val="lrTb"/>
            <w:noWrap w:val="false"/>
          </w:tcPr>
          <w:p>
            <w:pPr>
              <w:jc w:val="center"/>
              <w:shd w:val="clear" w:color="auto"/>
              <w:rPr>
                <w:color w:val="auto"/>
                <w:szCs w:val="21"/>
                <w:highlight w:val="none"/>
              </w:rPr>
            </w:pPr>
            <w:r>
              <w:rPr>
                <w:rFonts w:cs="Arial"/>
                <w:color w:val="auto"/>
                <w:szCs w:val="21"/>
                <w:highlight w:val="none"/>
              </w:rPr>
              <w:t xml:space="preserve">职称</w:t>
            </w:r>
            <w:r/>
          </w:p>
        </w:tc>
        <w:tc>
          <w:tcPr>
            <w:tcW w:w="850" w:type="dxa"/>
            <w:vAlign w:val="center"/>
            <w:textDirection w:val="lrTb"/>
            <w:noWrap w:val="false"/>
          </w:tcPr>
          <w:p>
            <w:pPr>
              <w:jc w:val="center"/>
              <w:shd w:val="clear" w:color="auto"/>
              <w:rPr>
                <w:color w:val="auto"/>
                <w:szCs w:val="21"/>
                <w:highlight w:val="none"/>
              </w:rPr>
            </w:pPr>
            <w:r>
              <w:rPr>
                <w:rFonts w:cs="Arial"/>
                <w:color w:val="auto"/>
                <w:szCs w:val="21"/>
                <w:highlight w:val="none"/>
              </w:rPr>
              <w:t xml:space="preserve">学历</w:t>
            </w:r>
            <w:r/>
          </w:p>
        </w:tc>
        <w:tc>
          <w:tcPr>
            <w:tcW w:w="1135" w:type="dxa"/>
            <w:vAlign w:val="center"/>
            <w:textDirection w:val="lrTb"/>
            <w:noWrap w:val="false"/>
          </w:tcPr>
          <w:p>
            <w:pPr>
              <w:jc w:val="center"/>
              <w:shd w:val="clear" w:color="auto"/>
              <w:rPr>
                <w:color w:val="auto"/>
                <w:szCs w:val="21"/>
                <w:highlight w:val="none"/>
              </w:rPr>
            </w:pPr>
            <w:r>
              <w:rPr>
                <w:rFonts w:hint="eastAsia" w:cs="Arial"/>
                <w:color w:val="auto"/>
                <w:szCs w:val="21"/>
                <w:highlight w:val="none"/>
              </w:rPr>
              <w:t xml:space="preserve">专业</w:t>
            </w:r>
            <w:r/>
          </w:p>
        </w:tc>
        <w:tc>
          <w:tcPr>
            <w:tcW w:w="909" w:type="dxa"/>
            <w:vAlign w:val="center"/>
            <w:textDirection w:val="lrTb"/>
            <w:noWrap w:val="false"/>
          </w:tcPr>
          <w:p>
            <w:pPr>
              <w:jc w:val="center"/>
              <w:shd w:val="clear" w:color="auto"/>
              <w:rPr>
                <w:color w:val="auto"/>
                <w:szCs w:val="21"/>
                <w:highlight w:val="none"/>
              </w:rPr>
            </w:pPr>
            <w:r>
              <w:rPr>
                <w:rFonts w:hint="eastAsia" w:cs="Arial"/>
                <w:color w:val="auto"/>
                <w:szCs w:val="21"/>
                <w:highlight w:val="none"/>
              </w:rPr>
              <w:t xml:space="preserve">入本机构时间</w:t>
            </w:r>
            <w:r/>
          </w:p>
        </w:tc>
        <w:tc>
          <w:tcPr>
            <w:tcW w:w="850" w:type="dxa"/>
            <w:vAlign w:val="center"/>
            <w:textDirection w:val="lrTb"/>
            <w:noWrap w:val="false"/>
          </w:tcPr>
          <w:p>
            <w:pPr>
              <w:jc w:val="center"/>
              <w:shd w:val="clear" w:color="auto"/>
              <w:rPr>
                <w:color w:val="auto"/>
                <w:szCs w:val="21"/>
                <w:highlight w:val="none"/>
              </w:rPr>
            </w:pPr>
            <w:r>
              <w:rPr>
                <w:rFonts w:hint="eastAsia" w:cs="Arial"/>
                <w:color w:val="auto"/>
                <w:szCs w:val="21"/>
                <w:highlight w:val="none"/>
              </w:rPr>
              <w:t xml:space="preserve">相关工作经验年限</w:t>
            </w:r>
            <w:r/>
          </w:p>
        </w:tc>
        <w:tc>
          <w:tcPr>
            <w:tcW w:w="1418" w:type="dxa"/>
            <w:vAlign w:val="center"/>
            <w:textDirection w:val="lrTb"/>
            <w:noWrap w:val="false"/>
          </w:tcPr>
          <w:p>
            <w:pPr>
              <w:jc w:val="center"/>
              <w:shd w:val="clear" w:color="auto"/>
              <w:rPr>
                <w:color w:val="auto"/>
                <w:szCs w:val="21"/>
                <w:highlight w:val="none"/>
              </w:rPr>
            </w:pPr>
            <w:r>
              <w:rPr>
                <w:rFonts w:hint="eastAsia" w:cs="Arial"/>
                <w:color w:val="auto"/>
                <w:szCs w:val="21"/>
                <w:highlight w:val="none"/>
              </w:rPr>
              <w:t xml:space="preserve">持证年限（按最晚持证项目时间计）</w:t>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3</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4</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5</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shd w:val="clear" w:color="auto"/>
              <w:rPr>
                <w:color w:val="auto"/>
                <w:szCs w:val="21"/>
                <w:highlight w:val="none"/>
              </w:rPr>
            </w:pPr>
            <w:r>
              <w:rPr>
                <w:rFonts w:hint="eastAsia" w:ascii="宋体" w:hAnsi="宋体" w:cs="宋体"/>
                <w:color w:val="auto"/>
                <w:szCs w:val="21"/>
                <w:highlight w:val="none"/>
              </w:rPr>
              <w:t xml:space="preserve">…</w:t>
            </w:r>
            <w:r/>
          </w:p>
        </w:tc>
        <w:tc>
          <w:tcPr>
            <w:tcW w:w="788"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1"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135"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909"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850" w:type="dxa"/>
            <w:vAlign w:val="center"/>
            <w:textDirection w:val="lrTb"/>
            <w:noWrap w:val="false"/>
          </w:tcPr>
          <w:p>
            <w:pPr>
              <w:jc w:val="center"/>
              <w:shd w:val="clear" w:color="auto"/>
              <w:rPr>
                <w:color w:val="auto"/>
                <w:szCs w:val="21"/>
                <w:highlight w:val="none"/>
              </w:rPr>
            </w:pPr>
            <w:r>
              <w:rPr>
                <w:color w:val="auto"/>
                <w:szCs w:val="21"/>
                <w:highlight w:val="none"/>
              </w:rPr>
            </w:r>
            <w:r/>
          </w:p>
        </w:tc>
        <w:tc>
          <w:tcPr>
            <w:tcW w:w="1418" w:type="dxa"/>
            <w:vAlign w:val="center"/>
            <w:textDirection w:val="lrTb"/>
            <w:noWrap w:val="false"/>
          </w:tcPr>
          <w:p>
            <w:pPr>
              <w:jc w:val="center"/>
              <w:shd w:val="clear" w:color="auto"/>
              <w:rPr>
                <w:color w:val="auto"/>
                <w:szCs w:val="21"/>
                <w:highlight w:val="none"/>
              </w:rPr>
            </w:pPr>
            <w:r>
              <w:rPr>
                <w:color w:val="auto"/>
                <w:szCs w:val="21"/>
                <w:highlight w:val="none"/>
              </w:rPr>
            </w:r>
            <w:r/>
          </w:p>
        </w:tc>
      </w:tr>
    </w:tbl>
    <w:p>
      <w:pPr>
        <w:pStyle w:val="1035"/>
        <w:shd w:val="clear" w:color="auto"/>
        <w:rPr>
          <w:rFonts w:hint="eastAsia"/>
          <w:color w:val="auto"/>
          <w:highlight w:val="none"/>
        </w:rPr>
      </w:pPr>
      <w:r>
        <w:rPr>
          <w:rFonts w:hint="eastAsia"/>
          <w:color w:val="auto"/>
          <w:highlight w:val="none"/>
        </w:rPr>
      </w:r>
      <w:r/>
    </w:p>
    <w:p>
      <w:pPr>
        <w:ind w:firstLine="525"/>
        <w:spacing w:line="360" w:lineRule="exact"/>
        <w:shd w:val="clear" w:color="auto"/>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shd w:val="clear" w:color="auto"/>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shd w:val="clear" w:color="auto"/>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shd w:val="clear" w:color="auto"/>
        <w:rPr>
          <w:rFonts w:hint="eastAsia" w:ascii="宋体" w:hAnsi="宋体"/>
          <w:b/>
          <w:color w:val="auto"/>
          <w:szCs w:val="21"/>
          <w:highlight w:val="none"/>
        </w:rPr>
      </w:pPr>
      <w:r>
        <w:rPr>
          <w:rFonts w:hint="eastAsia" w:ascii="宋体" w:hAnsi="宋体"/>
          <w:b/>
          <w:color w:val="auto"/>
          <w:szCs w:val="21"/>
          <w:highlight w:val="none"/>
        </w:rPr>
        <w:br w:type="page" w:clear="all"/>
      </w:r>
      <w:r/>
    </w:p>
    <w:p>
      <w:pPr>
        <w:jc w:val="left"/>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t xml:space="preserve">附件7、类似项目业绩一览表</w:t>
      </w:r>
      <w:r/>
    </w:p>
    <w:p>
      <w:pPr>
        <w:jc w:val="center"/>
        <w:spacing w:line="360" w:lineRule="auto"/>
        <w:shd w:val="clear" w:color="auto"/>
        <w:rPr>
          <w:rFonts w:ascii="宋体" w:hAnsi="Courier New"/>
          <w:b/>
          <w:color w:val="auto"/>
          <w:szCs w:val="21"/>
          <w:highlight w:val="none"/>
        </w:rPr>
      </w:pPr>
      <w:r>
        <w:rPr>
          <w:rFonts w:hint="eastAsia" w:ascii="宋体" w:hAnsi="Courier New"/>
          <w:b/>
          <w:color w:val="auto"/>
          <w:szCs w:val="21"/>
          <w:highlight w:val="none"/>
        </w:rPr>
        <w:t xml:space="preserve">类似项目业绩一览表</w:t>
      </w:r>
      <w:r/>
    </w:p>
    <w:tbl>
      <w:tblPr>
        <w:tblStyle w:val="979"/>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787" w:type="dxa"/>
            <w:vAlign w:val="center"/>
            <w:textDirection w:val="lrTb"/>
            <w:noWrap w:val="false"/>
          </w:tcPr>
          <w:p>
            <w:pPr>
              <w:jc w:val="center"/>
              <w:shd w:val="clear" w:color="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787" w:type="dxa"/>
            <w:vAlign w:val="center"/>
            <w:textDirection w:val="lrTb"/>
            <w:noWrap w:val="false"/>
          </w:tcPr>
          <w:p>
            <w:pPr>
              <w:jc w:val="center"/>
              <w:shd w:val="clear" w:color="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2085" w:type="dxa"/>
            <w:vAlign w:val="center"/>
            <w:textDirection w:val="lrTb"/>
            <w:noWrap w:val="false"/>
          </w:tcPr>
          <w:p>
            <w:pPr>
              <w:jc w:val="center"/>
              <w:shd w:val="clear" w:color="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425" w:type="dxa"/>
            <w:vAlign w:val="center"/>
            <w:textDirection w:val="lrTb"/>
            <w:noWrap w:val="false"/>
          </w:tcPr>
          <w:p>
            <w:pPr>
              <w:jc w:val="center"/>
              <w:shd w:val="clear" w:color="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37"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shd w:val="clear" w:color="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525"/>
        <w:spacing w:line="360" w:lineRule="exact"/>
        <w:shd w:val="clear" w:color="auto"/>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shd w:val="clear" w:color="auto"/>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shd w:val="clear" w:color="auto"/>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jc w:val="left"/>
        <w:spacing w:line="400" w:lineRule="exact"/>
        <w:shd w:val="clear" w:color="auto"/>
        <w:rPr>
          <w:rFonts w:hint="eastAsia" w:ascii="宋体" w:hAnsi="宋体"/>
          <w:b/>
          <w:color w:val="auto"/>
          <w:szCs w:val="21"/>
          <w:highlight w:val="none"/>
        </w:rPr>
      </w:pPr>
      <w:r>
        <w:rPr>
          <w:rFonts w:hint="eastAsia" w:ascii="宋体" w:hAnsi="宋体"/>
          <w:b/>
          <w:color w:val="auto"/>
          <w:szCs w:val="21"/>
          <w:highlight w:val="none"/>
        </w:rPr>
      </w:r>
      <w:r/>
    </w:p>
    <w:p>
      <w:pPr>
        <w:pStyle w:val="969"/>
        <w:shd w:val="clear" w:color="auto"/>
        <w:rPr>
          <w:color w:val="auto"/>
          <w:highlight w:val="none"/>
        </w:rPr>
      </w:pPr>
      <w:r>
        <w:rPr>
          <w:color w:val="auto"/>
          <w:highlight w:val="none"/>
        </w:rPr>
      </w:r>
      <w:r/>
    </w:p>
    <w:p>
      <w:pPr>
        <w:pStyle w:val="988"/>
        <w:ind w:firstLine="0"/>
        <w:spacing w:line="400" w:lineRule="exact"/>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988"/>
        <w:ind w:firstLine="0"/>
        <w:jc w:val="both"/>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88"/>
        <w:ind w:firstLine="0"/>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8"/>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88"/>
        <w:ind w:firstLine="0"/>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88"/>
        <w:ind w:firstLine="660"/>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88"/>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8"/>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988"/>
        <w:ind w:left="1700" w:firstLine="425"/>
        <w:spacing w:line="400" w:lineRule="exact"/>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988"/>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88"/>
        <w:ind w:firstLine="0"/>
        <w:jc w:val="both"/>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88"/>
        <w:ind w:firstLine="0"/>
        <w:jc w:val="both"/>
        <w:shd w:val="clear" w:color="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88"/>
        <w:ind w:firstLine="0"/>
        <w:jc w:val="center"/>
        <w:shd w:val="clear" w:color="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988"/>
        <w:jc w:val="both"/>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8"/>
        <w:jc w:val="both"/>
        <w:shd w:val="clear" w:color="auto"/>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79"/>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88"/>
              <w:ind w:firstLine="216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988"/>
              <w:ind w:firstLine="0"/>
              <w:jc w:val="center"/>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shd w:val="clear" w:color="auto"/>
        <w:rPr>
          <w:rFonts w:hint="eastAsia" w:ascii="宋体" w:hAnsi="宋体"/>
          <w:color w:val="auto"/>
          <w:highlight w:val="none"/>
        </w:rPr>
      </w:pPr>
      <w:r>
        <w:rPr>
          <w:rFonts w:hint="eastAsia" w:ascii="宋体" w:hAnsi="宋体"/>
          <w:color w:val="auto"/>
          <w:highlight w:val="none"/>
        </w:rPr>
      </w:r>
      <w:r/>
    </w:p>
    <w:p>
      <w:pPr>
        <w:shd w:val="clear" w:color="auto"/>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shd w:val="clear" w:color="auto"/>
        <w:rPr>
          <w:b/>
          <w:color w:val="auto"/>
          <w:highlight w:val="none"/>
        </w:rPr>
      </w:pPr>
      <w:r>
        <w:rPr>
          <w:rFonts w:hint="eastAsia"/>
          <w:b/>
          <w:color w:val="auto"/>
          <w:highlight w:val="none"/>
        </w:rPr>
        <w:t xml:space="preserve">中小企业声明函（服务类）</w:t>
      </w:r>
      <w:r/>
    </w:p>
    <w:p>
      <w:pPr>
        <w:ind w:firstLine="420"/>
        <w:spacing w:line="480" w:lineRule="auto"/>
        <w:shd w:val="clear" w:color="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shd w:val="clear" w:color="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shd w:val="clear" w:color="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shd w:val="clear" w:color="auto"/>
        <w:rPr>
          <w:bCs/>
          <w:color w:val="auto"/>
          <w:highlight w:val="none"/>
        </w:rPr>
      </w:pPr>
      <w:r>
        <w:rPr>
          <w:rFonts w:hint="eastAsia"/>
          <w:bCs/>
          <w:color w:val="auto"/>
          <w:highlight w:val="none"/>
        </w:rPr>
        <w:t xml:space="preserve">                                                          企业名称（盖章）： </w:t>
      </w:r>
      <w:r/>
    </w:p>
    <w:p>
      <w:pPr>
        <w:spacing w:line="480" w:lineRule="auto"/>
        <w:shd w:val="clear" w:color="auto"/>
        <w:rPr>
          <w:bCs/>
          <w:color w:val="auto"/>
          <w:highlight w:val="none"/>
        </w:rPr>
      </w:pPr>
      <w:r>
        <w:rPr>
          <w:rFonts w:hint="eastAsia"/>
          <w:bCs/>
          <w:color w:val="auto"/>
          <w:highlight w:val="none"/>
        </w:rPr>
        <w:t xml:space="preserve">                                                            日 期：</w:t>
      </w:r>
      <w:r/>
    </w:p>
    <w:p>
      <w:pPr>
        <w:ind w:firstLine="420"/>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shd w:val="clear" w:color="auto"/>
        <w:rPr>
          <w:rFonts w:hint="eastAsia"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shd w:val="clear" w:color="auto"/>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shd w:val="clear" w:color="auto"/>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shd w:val="clear" w:color="auto"/>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shd w:val="clear" w:color="auto"/>
        <w:rPr>
          <w:rFonts w:hint="eastAsia" w:ascii="宋体" w:hAnsi="宋体"/>
          <w:color w:val="auto"/>
          <w:spacing w:val="6"/>
          <w:szCs w:val="21"/>
          <w:highlight w:val="none"/>
        </w:rPr>
      </w:pPr>
      <w:r>
        <w:rPr>
          <w:rFonts w:hint="eastAsia" w:ascii="宋体" w:hAnsi="宋体"/>
          <w:color w:val="auto"/>
          <w:spacing w:val="6"/>
          <w:szCs w:val="21"/>
          <w:highlight w:val="none"/>
        </w:rPr>
      </w:r>
      <w:r/>
    </w:p>
    <w:p>
      <w:pPr>
        <w:ind w:right="1560" w:firstLine="444"/>
        <w:jc w:val="center"/>
        <w:spacing w:line="580" w:lineRule="exact"/>
        <w:shd w:val="clear" w:color="auto"/>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shd w:val="clear" w:color="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shd w:val="clear" w:color="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shd w:val="clear" w:color="auto"/>
        <w:rPr>
          <w:b/>
          <w:color w:val="auto"/>
          <w:szCs w:val="21"/>
          <w:highlight w:val="none"/>
        </w:rPr>
      </w:pPr>
      <w:r>
        <w:rPr>
          <w:rFonts w:hint="eastAsia"/>
          <w:b/>
          <w:color w:val="auto"/>
          <w:szCs w:val="21"/>
          <w:highlight w:val="none"/>
        </w:rPr>
        <w:t xml:space="preserve">投标（响应）保证承诺书</w:t>
      </w:r>
      <w:r/>
    </w:p>
    <w:p>
      <w:pPr>
        <w:jc w:val="left"/>
        <w:spacing w:line="360" w:lineRule="auto"/>
        <w:shd w:val="clear" w:color="auto"/>
        <w:widowControl/>
        <w:rPr>
          <w:rFonts w:cs="宋体"/>
          <w:color w:val="auto"/>
          <w:szCs w:val="21"/>
          <w:highlight w:val="none"/>
        </w:rPr>
      </w:pPr>
      <w:r>
        <w:rPr>
          <w:rFonts w:cs="宋体"/>
          <w:color w:val="auto"/>
          <w:szCs w:val="21"/>
          <w:highlight w:val="none"/>
        </w:rPr>
      </w:r>
      <w:r/>
    </w:p>
    <w:p>
      <w:pPr>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68"/>
        </w:numPr>
        <w:ind w:left="431" w:hanging="431"/>
        <w:jc w:val="left"/>
        <w:spacing w:line="520" w:lineRule="exact"/>
        <w:shd w:val="clear" w:color="auto"/>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69"/>
        </w:numPr>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69"/>
        </w:numPr>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69"/>
        </w:numPr>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69"/>
        </w:numPr>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68"/>
        </w:numPr>
        <w:ind w:left="431" w:hanging="431"/>
        <w:jc w:val="left"/>
        <w:spacing w:line="520" w:lineRule="exact"/>
        <w:shd w:val="clear" w:color="auto"/>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shd w:val="clear" w:color="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shd w:val="clear" w:color="auto"/>
        <w:widowControl/>
        <w:rPr>
          <w:rFonts w:cs="宋体"/>
          <w:color w:val="auto"/>
          <w:szCs w:val="21"/>
          <w:highlight w:val="none"/>
        </w:rPr>
      </w:pPr>
      <w:r>
        <w:rPr>
          <w:rFonts w:hint="eastAsia" w:cs="宋体"/>
          <w:color w:val="auto"/>
          <w:szCs w:val="21"/>
          <w:highlight w:val="none"/>
        </w:rPr>
        <w:t xml:space="preserve">日期：</w:t>
      </w:r>
      <w:r/>
    </w:p>
    <w:p>
      <w:pPr>
        <w:shd w:val="clear" w:color="auto"/>
        <w:rPr>
          <w:rFonts w:hint="eastAsia" w:ascii="宋体" w:hAnsi="宋体"/>
          <w:color w:val="auto"/>
          <w:sz w:val="24"/>
          <w:highlight w:val="none"/>
        </w:rPr>
      </w:pPr>
      <w:r>
        <w:rPr>
          <w:rFonts w:hint="eastAsia" w:ascii="宋体" w:hAnsi="宋体"/>
          <w:color w:val="auto"/>
          <w:sz w:val="24"/>
          <w:highlight w:val="none"/>
        </w:rPr>
      </w:r>
      <w:r/>
    </w:p>
    <w:p>
      <w:pPr>
        <w:shd w:val="clear" w:color="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shd w:val="clear" w:color="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shd w:val="clear" w:color="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979"/>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shd w:val="clear" w:color="auto"/>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shd w:val="clear" w:color="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shd w:val="clear" w:color="auto"/>
        <w:rPr>
          <w:rFonts w:hint="eastAsia" w:ascii="宋体" w:hAnsi="宋体"/>
          <w:b/>
          <w:color w:val="auto"/>
          <w:szCs w:val="21"/>
          <w:highlight w:val="none"/>
        </w:rPr>
      </w:pPr>
      <w:r>
        <w:rPr>
          <w:rFonts w:hint="eastAsia" w:ascii="宋体" w:hAnsi="宋体"/>
          <w:b/>
          <w:color w:val="auto"/>
          <w:szCs w:val="21"/>
          <w:highlight w:val="none"/>
        </w:rPr>
        <w:t xml:space="preserve">2、其中“直接控股”是指投标人与大型企业之间存在直接投资并控股（非普通持股）的关系。</w:t>
      </w:r>
      <w:r/>
    </w:p>
    <w:p>
      <w:pPr>
        <w:shd w:val="clear" w:color="auto"/>
        <w:rPr>
          <w:rFonts w:hint="eastAsia" w:ascii="宋体" w:hAnsi="宋体"/>
          <w:b/>
          <w:color w:val="auto"/>
          <w:szCs w:val="21"/>
          <w:highlight w:val="none"/>
        </w:rPr>
      </w:pPr>
      <w:r>
        <w:rPr>
          <w:rFonts w:hint="eastAsia" w:ascii="宋体" w:hAnsi="宋体"/>
          <w:b/>
          <w:color w:val="auto"/>
          <w:szCs w:val="21"/>
          <w:highlight w:val="none"/>
        </w:rPr>
      </w:r>
      <w:r/>
    </w:p>
    <w:p>
      <w:pPr>
        <w:pStyle w:val="988"/>
        <w:ind w:firstLine="0"/>
        <w:spacing w:line="400" w:lineRule="exact"/>
        <w:shd w:val="clear" w:color="auto"/>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88"/>
        <w:ind w:firstLine="0"/>
        <w:spacing w:line="400" w:lineRule="exact"/>
        <w:shd w:val="clear" w:color="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988"/>
        <w:ind w:firstLine="0"/>
        <w:spacing w:line="400" w:lineRule="exact"/>
        <w:shd w:val="clear" w:color="auto"/>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shd w:val="clear" w:color="auto"/>
        <w:rPr>
          <w:rFonts w:hint="eastAsia" w:ascii="宋体" w:hAnsi="宋体"/>
          <w:color w:val="auto"/>
          <w:highlight w:val="none"/>
        </w:rPr>
      </w:pPr>
      <w:r>
        <w:rPr>
          <w:rFonts w:hint="eastAsia" w:ascii="宋体" w:hAnsi="宋体"/>
          <w:color w:val="auto"/>
          <w:highlight w:val="none"/>
        </w:rPr>
      </w:r>
      <w:r/>
    </w:p>
    <w:p>
      <w:pPr>
        <w:jc w:val="right"/>
        <w:shd w:val="clear" w:color="auto"/>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微软雅黑">
    <w:panose1 w:val="020B0503020204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16</w:t>
    </w:r>
    <w:r>
      <w:fldChar w:fldCharType="end"/>
    </w:r>
    <w:r/>
  </w:p>
  <w:p>
    <w:pPr>
      <w:pStyle w:val="1004"/>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7"/>
      </w:rPr>
      <w:framePr w:wrap="around" w:vAnchor="text" w:hAnchor="margin" w:xAlign="center" w:y="1"/>
    </w:pPr>
    <w:r>
      <w:fldChar w:fldCharType="begin"/>
    </w:r>
    <w:r>
      <w:rPr>
        <w:rStyle w:val="1027"/>
      </w:rPr>
      <w:instrText xml:space="preserve">PAGE  </w:instrText>
    </w:r>
    <w:r>
      <w:fldChar w:fldCharType="separate"/>
    </w:r>
    <w: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JSZC-320500-SZYX-C2025-00</w:t>
    </w:r>
    <w:r>
      <w:rPr>
        <w:rFonts w:hint="eastAsia" w:ascii="宋体" w:hAnsi="宋体" w:cs="宋体"/>
        <w:lang w:val="en-US" w:eastAsia="zh-CN"/>
      </w:rPr>
      <w:t xml:space="preserve">78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pPr>
    </w:lvl>
    <w:lvl w:ilvl="1">
      <w:start w:val="1"/>
      <w:numFmt w:val="decimal"/>
      <w:isLgl w:val="false"/>
      <w:suff w:val="tab"/>
      <w:lvlText w:val="%2)"/>
      <w:lvlJc w:val="left"/>
      <w:pPr>
        <w:ind w:left="1134" w:hanging="567"/>
        <w:tabs>
          <w:tab w:val="left" w:pos="567" w:leader="none"/>
        </w:tabs>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left"/>
      <w:pPr>
        <w:ind w:left="420" w:hanging="420"/>
      </w:pPr>
      <w:rPr>
        <w:rFonts w:hint="eastAsia"/>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left"/>
      <w:pPr>
        <w:ind w:left="420" w:hanging="420"/>
      </w:pPr>
      <w:rPr>
        <w:rFonts w:hint="eastAsia"/>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isLgl w:val="false"/>
      <w:suff w:val="tab"/>
      <w:lvlText w:val="%1."/>
      <w:lvlJc w:val="left"/>
      <w:pPr>
        <w:ind w:left="840" w:hanging="420"/>
      </w:pPr>
    </w:lvl>
    <w:lvl w:ilvl="1">
      <w:start w:val="2"/>
      <w:numFmt w:val="decimal"/>
      <w:isLgl/>
      <w:suff w:val="tab"/>
      <w:lvlText w:val="%1.%2"/>
      <w:lvlJc w:val="left"/>
      <w:pPr>
        <w:ind w:left="1050" w:hanging="630"/>
      </w:pPr>
      <w:rPr>
        <w:rFonts w:hint="default"/>
      </w:rPr>
    </w:lvl>
    <w:lvl w:ilvl="2">
      <w:start w:val="1"/>
      <w:numFmt w:val="decimal"/>
      <w:isLgl/>
      <w:suff w:val="tab"/>
      <w:lvlText w:val="%1.%2.%3"/>
      <w:lvlJc w:val="left"/>
      <w:pPr>
        <w:ind w:left="1140" w:hanging="720"/>
      </w:pPr>
      <w:rPr>
        <w:rFonts w:hint="default"/>
      </w:rPr>
    </w:lvl>
    <w:lvl w:ilvl="3">
      <w:start w:val="1"/>
      <w:numFmt w:val="decimal"/>
      <w:isLgl/>
      <w:suff w:val="tab"/>
      <w:lvlText w:val="%1.%2.%3.%4"/>
      <w:lvlJc w:val="left"/>
      <w:pPr>
        <w:ind w:left="1500" w:hanging="1080"/>
      </w:pPr>
      <w:rPr>
        <w:rFonts w:hint="default"/>
      </w:rPr>
    </w:lvl>
    <w:lvl w:ilvl="4">
      <w:start w:val="1"/>
      <w:numFmt w:val="decimal"/>
      <w:isLgl/>
      <w:suff w:val="tab"/>
      <w:lvlText w:val="%1.%2.%3.%4.%5"/>
      <w:lvlJc w:val="left"/>
      <w:pPr>
        <w:ind w:left="1500" w:hanging="1080"/>
      </w:pPr>
      <w:rPr>
        <w:rFonts w:hint="default"/>
      </w:rPr>
    </w:lvl>
    <w:lvl w:ilvl="5">
      <w:start w:val="1"/>
      <w:numFmt w:val="decimal"/>
      <w:isLgl/>
      <w:suff w:val="tab"/>
      <w:lvlText w:val="%1.%2.%3.%4.%5.%6"/>
      <w:lvlJc w:val="left"/>
      <w:pPr>
        <w:ind w:left="1860" w:hanging="1440"/>
      </w:pPr>
      <w:rPr>
        <w:rFonts w:hint="default"/>
      </w:rPr>
    </w:lvl>
    <w:lvl w:ilvl="6">
      <w:start w:val="1"/>
      <w:numFmt w:val="decimal"/>
      <w:isLgl/>
      <w:suff w:val="tab"/>
      <w:lvlText w:val="%1.%2.%3.%4.%5.%6.%7"/>
      <w:lvlJc w:val="left"/>
      <w:pPr>
        <w:ind w:left="1860" w:hanging="1440"/>
      </w:pPr>
      <w:rPr>
        <w:rFonts w:hint="default"/>
      </w:rPr>
    </w:lvl>
    <w:lvl w:ilvl="7">
      <w:start w:val="1"/>
      <w:numFmt w:val="decimal"/>
      <w:isLgl/>
      <w:suff w:val="tab"/>
      <w:lvlText w:val="%1.%2.%3.%4.%5.%6.%7.%8"/>
      <w:lvlJc w:val="left"/>
      <w:pPr>
        <w:ind w:left="2220" w:hanging="1800"/>
      </w:pPr>
      <w:rPr>
        <w:rFonts w:hint="default"/>
      </w:rPr>
    </w:lvl>
    <w:lvl w:ilvl="8">
      <w:start w:val="1"/>
      <w:numFmt w:val="decimal"/>
      <w:isLgl/>
      <w:suff w:val="tab"/>
      <w:lvlText w:val="%1.%2.%3.%4.%5.%6.%7.%8.%9"/>
      <w:lvlJc w:val="left"/>
      <w:pPr>
        <w:ind w:left="2220" w:hanging="1800"/>
      </w:pPr>
      <w:rPr>
        <w:rFonts w:hint="default"/>
      </w:rPr>
    </w:lvl>
  </w:abstractNum>
  <w:abstractNum w:abstractNumId="27">
    <w:multiLevelType w:val="hybridMultilevel"/>
    <w:lvl w:ilvl="0">
      <w:start w:val="1"/>
      <w:numFmt w:val="chineseCountingThousand"/>
      <w:pStyle w:val="1147"/>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8">
    <w:multiLevelType w:val="hybridMultilevel"/>
    <w:lvl w:ilvl="0">
      <w:start w:val="1"/>
      <w:numFmt w:val="decimal"/>
      <w:pStyle w:val="1114"/>
      <w:isLgl w:val="false"/>
      <w:suff w:val="space"/>
      <w:lvlText w:val="%1"/>
      <w:lvlJc w:val="left"/>
      <w:pPr>
        <w:ind w:left="0" w:firstLine="0"/>
      </w:pPr>
      <w:rPr>
        <w:rFonts w:hint="eastAsia" w:ascii="宋体" w:hAnsi="宋体" w:eastAsia="宋体"/>
        <w:b/>
      </w:rPr>
    </w:lvl>
    <w:lvl w:ilvl="1">
      <w:start w:val="1"/>
      <w:numFmt w:val="decimal"/>
      <w:pStyle w:val="1061"/>
      <w:isLgl w:val="false"/>
      <w:suff w:val="space"/>
      <w:lvlText w:val="%1.%2"/>
      <w:lvlJc w:val="left"/>
      <w:pPr>
        <w:ind w:left="-84" w:firstLine="510"/>
      </w:pPr>
      <w:rPr>
        <w:rFonts w:hint="eastAsia" w:ascii="宋体" w:hAnsi="宋体" w:eastAsia="宋体"/>
      </w:rPr>
    </w:lvl>
    <w:lvl w:ilvl="2">
      <w:start w:val="1"/>
      <w:numFmt w:val="decimal"/>
      <w:pStyle w:val="1087"/>
      <w:isLgl w:val="false"/>
      <w:suff w:val="tab"/>
      <w:lvlText w:val="%1.%2.%3"/>
      <w:lvlJc w:val="left"/>
      <w:pPr>
        <w:ind w:left="0" w:firstLine="510"/>
      </w:pPr>
      <w:rPr>
        <w:rFonts w:hint="eastAsia"/>
      </w:rPr>
    </w:lvl>
    <w:lvl w:ilvl="3">
      <w:start w:val="1"/>
      <w:numFmt w:val="decimal"/>
      <w:pStyle w:val="1129"/>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tab"/>
      <w:lvlText w:val="(%1)"/>
      <w:lvlJc w:val="left"/>
      <w:pPr>
        <w:ind w:left="63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4">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5">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113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0">
    <w:multiLevelType w:val="hybridMultilevel"/>
    <w:lvl w:ilvl="0">
      <w:start w:val="1"/>
      <w:numFmt w:val="decimal"/>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decimal"/>
      <w:isLgl w:val="false"/>
      <w:suff w:val="tab"/>
      <w:lvlText w:val="(%3)"/>
      <w:lvlJc w:val="left"/>
      <w:pPr>
        <w:ind w:left="420" w:hanging="420"/>
      </w:pPr>
      <w:rPr>
        <w:rFonts w:hint="eastAsia"/>
      </w:r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840" w:hanging="420"/>
      </w:pPr>
    </w:lvl>
    <w:lvl w:ilvl="1">
      <w:start w:val="2"/>
      <w:numFmt w:val="decimal"/>
      <w:isLgl/>
      <w:suff w:val="tab"/>
      <w:lvlText w:val="%1.%2"/>
      <w:lvlJc w:val="left"/>
      <w:pPr>
        <w:ind w:left="1050" w:hanging="630"/>
      </w:pPr>
      <w:rPr>
        <w:rFonts w:hint="default"/>
      </w:rPr>
    </w:lvl>
    <w:lvl w:ilvl="2">
      <w:start w:val="1"/>
      <w:numFmt w:val="decimal"/>
      <w:isLgl/>
      <w:suff w:val="tab"/>
      <w:lvlText w:val="%1.%2.%3"/>
      <w:lvlJc w:val="left"/>
      <w:pPr>
        <w:ind w:left="1140" w:hanging="720"/>
      </w:pPr>
      <w:rPr>
        <w:rFonts w:hint="default"/>
      </w:rPr>
    </w:lvl>
    <w:lvl w:ilvl="3">
      <w:start w:val="1"/>
      <w:numFmt w:val="decimal"/>
      <w:isLgl/>
      <w:suff w:val="tab"/>
      <w:lvlText w:val="%1.%2.%3.%4"/>
      <w:lvlJc w:val="left"/>
      <w:pPr>
        <w:ind w:left="1500" w:hanging="1080"/>
      </w:pPr>
      <w:rPr>
        <w:rFonts w:hint="default"/>
      </w:rPr>
    </w:lvl>
    <w:lvl w:ilvl="4">
      <w:start w:val="1"/>
      <w:numFmt w:val="decimal"/>
      <w:isLgl/>
      <w:suff w:val="tab"/>
      <w:lvlText w:val="%1.%2.%3.%4.%5"/>
      <w:lvlJc w:val="left"/>
      <w:pPr>
        <w:ind w:left="1500" w:hanging="1080"/>
      </w:pPr>
      <w:rPr>
        <w:rFonts w:hint="default"/>
      </w:rPr>
    </w:lvl>
    <w:lvl w:ilvl="5">
      <w:start w:val="1"/>
      <w:numFmt w:val="decimal"/>
      <w:isLgl/>
      <w:suff w:val="tab"/>
      <w:lvlText w:val="%1.%2.%3.%4.%5.%6"/>
      <w:lvlJc w:val="left"/>
      <w:pPr>
        <w:ind w:left="1860" w:hanging="1440"/>
      </w:pPr>
      <w:rPr>
        <w:rFonts w:hint="default"/>
      </w:rPr>
    </w:lvl>
    <w:lvl w:ilvl="6">
      <w:start w:val="1"/>
      <w:numFmt w:val="decimal"/>
      <w:isLgl/>
      <w:suff w:val="tab"/>
      <w:lvlText w:val="%1.%2.%3.%4.%5.%6.%7"/>
      <w:lvlJc w:val="left"/>
      <w:pPr>
        <w:ind w:left="1860" w:hanging="1440"/>
      </w:pPr>
      <w:rPr>
        <w:rFonts w:hint="default"/>
      </w:rPr>
    </w:lvl>
    <w:lvl w:ilvl="7">
      <w:start w:val="1"/>
      <w:numFmt w:val="decimal"/>
      <w:isLgl/>
      <w:suff w:val="tab"/>
      <w:lvlText w:val="%1.%2.%3.%4.%5.%6.%7.%8"/>
      <w:lvlJc w:val="left"/>
      <w:pPr>
        <w:ind w:left="2220" w:hanging="1800"/>
      </w:pPr>
      <w:rPr>
        <w:rFonts w:hint="default"/>
      </w:rPr>
    </w:lvl>
    <w:lvl w:ilvl="8">
      <w:start w:val="1"/>
      <w:numFmt w:val="decimal"/>
      <w:isLgl/>
      <w:suff w:val="tab"/>
      <w:lvlText w:val="%1.%2.%3.%4.%5.%6.%7.%8.%9"/>
      <w:lvlJc w:val="left"/>
      <w:pPr>
        <w:ind w:left="2220" w:hanging="1800"/>
      </w:pPr>
      <w:rPr>
        <w:rFonts w:hint="default"/>
      </w:rPr>
    </w:lvl>
  </w:abstractNum>
  <w:abstractNum w:abstractNumId="4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54">
    <w:multiLevelType w:val="hybridMultilevel"/>
    <w:lvl w:ilvl="0">
      <w:start w:val="1"/>
      <w:numFmt w:val="decimal"/>
      <w:isLgl w:val="false"/>
      <w:suff w:val="tab"/>
      <w:lvlText w:val="%1)"/>
      <w:lvlJc w:val="left"/>
      <w:pPr>
        <w:ind w:left="1260" w:hanging="4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5">
    <w:multiLevelType w:val="hybridMultilevel"/>
    <w:lvl w:ilvl="0">
      <w:start w:val="1"/>
      <w:numFmt w:val="decimal"/>
      <w:isLgl w:val="false"/>
      <w:suff w:val="tab"/>
      <w:lvlText w:val="%1)"/>
      <w:lvlJc w:val="left"/>
      <w:pPr>
        <w:ind w:left="840" w:hanging="420"/>
      </w:pPr>
    </w:lvl>
    <w:lvl w:ilvl="1">
      <w:start w:val="1"/>
      <w:numFmt w:val="decimal"/>
      <w:isLgl w:val="false"/>
      <w:suff w:val="tab"/>
      <w:lvlText w:val="%2)"/>
      <w:lvlJc w:val="left"/>
      <w:pPr>
        <w:ind w:left="1134" w:hanging="567"/>
        <w:tabs>
          <w:tab w:val="left" w:pos="567" w:leader="none"/>
        </w:tabs>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6">
    <w:multiLevelType w:val="hybridMultilevel"/>
    <w:lvl w:ilvl="0">
      <w:start w:val="1"/>
      <w:numFmt w:val="bullet"/>
      <w:pStyle w:val="113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60">
    <w:multiLevelType w:val="hybridMultilevel"/>
    <w:lvl w:ilvl="0">
      <w:start w:val="1"/>
      <w:numFmt w:val="decimal"/>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1">
    <w:multiLevelType w:val="hybridMultilevel"/>
    <w:lvl w:ilvl="0">
      <w:start w:val="1"/>
      <w:numFmt w:val="chineseCountingThousand"/>
      <w:pStyle w:val="1007"/>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4">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8">
    <w:multiLevelType w:val="hybridMultilevel"/>
    <w:lvl w:ilvl="0">
      <w:start w:val="1"/>
      <w:numFmt w:val="decimal"/>
      <w:isLgl w:val="false"/>
      <w:suff w:val="tab"/>
      <w:lvlText w:val="%1."/>
      <w:lvlJc w:val="left"/>
      <w:pPr>
        <w:ind w:left="840" w:hanging="420"/>
      </w:pPr>
    </w:lvl>
    <w:lvl w:ilvl="1">
      <w:start w:val="2"/>
      <w:numFmt w:val="decimal"/>
      <w:isLgl/>
      <w:suff w:val="tab"/>
      <w:lvlText w:val="%1.%2"/>
      <w:lvlJc w:val="left"/>
      <w:pPr>
        <w:ind w:left="1050" w:hanging="630"/>
      </w:pPr>
      <w:rPr>
        <w:rFonts w:hint="default"/>
      </w:rPr>
    </w:lvl>
    <w:lvl w:ilvl="2">
      <w:start w:val="1"/>
      <w:numFmt w:val="decimal"/>
      <w:isLgl/>
      <w:suff w:val="tab"/>
      <w:lvlText w:val="%1.%2.%3"/>
      <w:lvlJc w:val="left"/>
      <w:pPr>
        <w:ind w:left="1140" w:hanging="720"/>
      </w:pPr>
      <w:rPr>
        <w:rFonts w:hint="default"/>
      </w:rPr>
    </w:lvl>
    <w:lvl w:ilvl="3">
      <w:start w:val="1"/>
      <w:numFmt w:val="decimal"/>
      <w:isLgl/>
      <w:suff w:val="tab"/>
      <w:lvlText w:val="%1.%2.%3.%4"/>
      <w:lvlJc w:val="left"/>
      <w:pPr>
        <w:ind w:left="1500" w:hanging="1080"/>
      </w:pPr>
      <w:rPr>
        <w:rFonts w:hint="default"/>
      </w:rPr>
    </w:lvl>
    <w:lvl w:ilvl="4">
      <w:start w:val="1"/>
      <w:numFmt w:val="decimal"/>
      <w:isLgl/>
      <w:suff w:val="tab"/>
      <w:lvlText w:val="%1.%2.%3.%4.%5"/>
      <w:lvlJc w:val="left"/>
      <w:pPr>
        <w:ind w:left="1500" w:hanging="1080"/>
      </w:pPr>
      <w:rPr>
        <w:rFonts w:hint="default"/>
      </w:rPr>
    </w:lvl>
    <w:lvl w:ilvl="5">
      <w:start w:val="1"/>
      <w:numFmt w:val="decimal"/>
      <w:isLgl/>
      <w:suff w:val="tab"/>
      <w:lvlText w:val="%1.%2.%3.%4.%5.%6"/>
      <w:lvlJc w:val="left"/>
      <w:pPr>
        <w:ind w:left="1860" w:hanging="1440"/>
      </w:pPr>
      <w:rPr>
        <w:rFonts w:hint="default"/>
      </w:rPr>
    </w:lvl>
    <w:lvl w:ilvl="6">
      <w:start w:val="1"/>
      <w:numFmt w:val="decimal"/>
      <w:isLgl/>
      <w:suff w:val="tab"/>
      <w:lvlText w:val="%1.%2.%3.%4.%5.%6.%7"/>
      <w:lvlJc w:val="left"/>
      <w:pPr>
        <w:ind w:left="1860" w:hanging="1440"/>
      </w:pPr>
      <w:rPr>
        <w:rFonts w:hint="default"/>
      </w:rPr>
    </w:lvl>
    <w:lvl w:ilvl="7">
      <w:start w:val="1"/>
      <w:numFmt w:val="decimal"/>
      <w:isLgl/>
      <w:suff w:val="tab"/>
      <w:lvlText w:val="%1.%2.%3.%4.%5.%6.%7.%8"/>
      <w:lvlJc w:val="left"/>
      <w:pPr>
        <w:ind w:left="2220" w:hanging="1800"/>
      </w:pPr>
      <w:rPr>
        <w:rFonts w:hint="default"/>
      </w:rPr>
    </w:lvl>
    <w:lvl w:ilvl="8">
      <w:start w:val="1"/>
      <w:numFmt w:val="decimal"/>
      <w:isLgl/>
      <w:suff w:val="tab"/>
      <w:lvlText w:val="%1.%2.%3.%4.%5.%6.%7.%8.%9"/>
      <w:lvlJc w:val="left"/>
      <w:pPr>
        <w:ind w:left="2220" w:hanging="1800"/>
      </w:pPr>
      <w:rPr>
        <w:rFonts w:hint="default"/>
      </w:rPr>
    </w:lvl>
  </w:abstractNum>
  <w:num w:numId="1">
    <w:abstractNumId w:val="61"/>
  </w:num>
  <w:num w:numId="2">
    <w:abstractNumId w:val="28"/>
  </w:num>
  <w:num w:numId="3">
    <w:abstractNumId w:val="56"/>
  </w:num>
  <w:num w:numId="4">
    <w:abstractNumId w:val="27"/>
  </w:num>
  <w:num w:numId="5">
    <w:abstractNumId w:val="41"/>
  </w:num>
  <w:num w:numId="6">
    <w:abstractNumId w:val="0"/>
  </w:num>
  <w:num w:numId="7">
    <w:abstractNumId w:val="16"/>
  </w:num>
  <w:num w:numId="8">
    <w:abstractNumId w:val="4"/>
  </w:num>
  <w:num w:numId="9">
    <w:abstractNumId w:val="29"/>
  </w:num>
  <w:num w:numId="10">
    <w:abstractNumId w:val="3"/>
  </w:num>
  <w:num w:numId="11">
    <w:abstractNumId w:val="1"/>
  </w:num>
  <w:num w:numId="12">
    <w:abstractNumId w:val="57"/>
  </w:num>
  <w:num w:numId="13">
    <w:abstractNumId w:val="24"/>
  </w:num>
  <w:num w:numId="14">
    <w:abstractNumId w:val="6"/>
  </w:num>
  <w:num w:numId="15">
    <w:abstractNumId w:val="17"/>
  </w:num>
  <w:num w:numId="16">
    <w:abstractNumId w:val="37"/>
  </w:num>
  <w:num w:numId="17">
    <w:abstractNumId w:val="67"/>
  </w:num>
  <w:num w:numId="18">
    <w:abstractNumId w:val="30"/>
  </w:num>
  <w:num w:numId="19">
    <w:abstractNumId w:val="68"/>
  </w:num>
  <w:num w:numId="20">
    <w:abstractNumId w:val="38"/>
  </w:num>
  <w:num w:numId="21">
    <w:abstractNumId w:val="43"/>
  </w:num>
  <w:num w:numId="22">
    <w:abstractNumId w:val="25"/>
  </w:num>
  <w:num w:numId="23">
    <w:abstractNumId w:val="26"/>
  </w:num>
  <w:num w:numId="24">
    <w:abstractNumId w:val="8"/>
  </w:num>
  <w:num w:numId="25">
    <w:abstractNumId w:val="45"/>
  </w:num>
  <w:num w:numId="26">
    <w:abstractNumId w:val="63"/>
  </w:num>
  <w:num w:numId="27">
    <w:abstractNumId w:val="35"/>
  </w:num>
  <w:num w:numId="28">
    <w:abstractNumId w:val="54"/>
  </w:num>
  <w:num w:numId="29">
    <w:abstractNumId w:val="48"/>
  </w:num>
  <w:num w:numId="30">
    <w:abstractNumId w:val="62"/>
  </w:num>
  <w:num w:numId="31">
    <w:abstractNumId w:val="33"/>
  </w:num>
  <w:num w:numId="32">
    <w:abstractNumId w:val="55"/>
  </w:num>
  <w:num w:numId="33">
    <w:abstractNumId w:val="40"/>
  </w:num>
  <w:num w:numId="34">
    <w:abstractNumId w:val="12"/>
  </w:num>
  <w:num w:numId="35">
    <w:abstractNumId w:val="11"/>
  </w:num>
  <w:num w:numId="36">
    <w:abstractNumId w:val="47"/>
  </w:num>
  <w:num w:numId="37">
    <w:abstractNumId w:val="21"/>
  </w:num>
  <w:num w:numId="38">
    <w:abstractNumId w:val="22"/>
  </w:num>
  <w:num w:numId="39">
    <w:abstractNumId w:val="66"/>
  </w:num>
  <w:num w:numId="40">
    <w:abstractNumId w:val="50"/>
  </w:num>
  <w:num w:numId="41">
    <w:abstractNumId w:val="23"/>
  </w:num>
  <w:num w:numId="42">
    <w:abstractNumId w:val="15"/>
  </w:num>
  <w:num w:numId="43">
    <w:abstractNumId w:val="52"/>
  </w:num>
  <w:num w:numId="44">
    <w:abstractNumId w:val="36"/>
  </w:num>
  <w:num w:numId="45">
    <w:abstractNumId w:val="7"/>
  </w:num>
  <w:num w:numId="46">
    <w:abstractNumId w:val="9"/>
  </w:num>
  <w:num w:numId="47">
    <w:abstractNumId w:val="44"/>
  </w:num>
  <w:num w:numId="48">
    <w:abstractNumId w:val="18"/>
  </w:num>
  <w:num w:numId="49">
    <w:abstractNumId w:val="14"/>
  </w:num>
  <w:num w:numId="50">
    <w:abstractNumId w:val="59"/>
  </w:num>
  <w:num w:numId="51">
    <w:abstractNumId w:val="19"/>
  </w:num>
  <w:num w:numId="52">
    <w:abstractNumId w:val="2"/>
  </w:num>
  <w:num w:numId="53">
    <w:abstractNumId w:val="20"/>
  </w:num>
  <w:num w:numId="54">
    <w:abstractNumId w:val="10"/>
  </w:num>
  <w:num w:numId="55">
    <w:abstractNumId w:val="53"/>
  </w:num>
  <w:num w:numId="56">
    <w:abstractNumId w:val="34"/>
  </w:num>
  <w:num w:numId="57">
    <w:abstractNumId w:val="42"/>
  </w:num>
  <w:num w:numId="58">
    <w:abstractNumId w:val="49"/>
  </w:num>
  <w:num w:numId="59">
    <w:abstractNumId w:val="13"/>
  </w:num>
  <w:num w:numId="60">
    <w:abstractNumId w:val="32"/>
  </w:num>
  <w:num w:numId="61">
    <w:abstractNumId w:val="60"/>
  </w:num>
  <w:num w:numId="62">
    <w:abstractNumId w:val="51"/>
  </w:num>
  <w:num w:numId="63">
    <w:abstractNumId w:val="31"/>
  </w:num>
  <w:num w:numId="64">
    <w:abstractNumId w:val="64"/>
  </w:num>
  <w:num w:numId="65">
    <w:abstractNumId w:val="5"/>
  </w:num>
  <w:num w:numId="66">
    <w:abstractNumId w:val="65"/>
  </w:num>
  <w:num w:numId="67">
    <w:abstractNumId w:val="46"/>
  </w:num>
  <w:num w:numId="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978"/>
    <w:link w:val="969"/>
    <w:uiPriority w:val="9"/>
    <w:rPr>
      <w:rFonts w:ascii="Arial" w:hAnsi="Arial" w:eastAsia="Arial" w:cs="Arial"/>
      <w:sz w:val="40"/>
      <w:szCs w:val="40"/>
    </w:rPr>
  </w:style>
  <w:style w:type="character" w:styleId="820">
    <w:name w:val="Heading 2 Char"/>
    <w:basedOn w:val="978"/>
    <w:link w:val="970"/>
    <w:uiPriority w:val="9"/>
    <w:rPr>
      <w:rFonts w:ascii="Arial" w:hAnsi="Arial" w:eastAsia="Arial" w:cs="Arial"/>
      <w:sz w:val="34"/>
    </w:rPr>
  </w:style>
  <w:style w:type="character" w:styleId="821">
    <w:name w:val="Heading 3 Char"/>
    <w:basedOn w:val="978"/>
    <w:link w:val="971"/>
    <w:uiPriority w:val="9"/>
    <w:rPr>
      <w:rFonts w:ascii="Arial" w:hAnsi="Arial" w:eastAsia="Arial" w:cs="Arial"/>
      <w:sz w:val="30"/>
      <w:szCs w:val="30"/>
    </w:rPr>
  </w:style>
  <w:style w:type="character" w:styleId="822">
    <w:name w:val="Heading 4 Char"/>
    <w:basedOn w:val="978"/>
    <w:link w:val="972"/>
    <w:uiPriority w:val="9"/>
    <w:rPr>
      <w:rFonts w:ascii="Arial" w:hAnsi="Arial" w:eastAsia="Arial" w:cs="Arial"/>
      <w:b/>
      <w:bCs/>
      <w:sz w:val="26"/>
      <w:szCs w:val="26"/>
    </w:rPr>
  </w:style>
  <w:style w:type="character" w:styleId="823">
    <w:name w:val="Heading 5 Char"/>
    <w:basedOn w:val="978"/>
    <w:link w:val="973"/>
    <w:uiPriority w:val="9"/>
    <w:rPr>
      <w:rFonts w:ascii="Arial" w:hAnsi="Arial" w:eastAsia="Arial" w:cs="Arial"/>
      <w:b/>
      <w:bCs/>
      <w:sz w:val="24"/>
      <w:szCs w:val="24"/>
    </w:rPr>
  </w:style>
  <w:style w:type="character" w:styleId="824">
    <w:name w:val="Heading 6 Char"/>
    <w:basedOn w:val="978"/>
    <w:link w:val="974"/>
    <w:uiPriority w:val="9"/>
    <w:rPr>
      <w:rFonts w:ascii="Arial" w:hAnsi="Arial" w:eastAsia="Arial" w:cs="Arial"/>
      <w:b/>
      <w:bCs/>
      <w:sz w:val="22"/>
      <w:szCs w:val="22"/>
    </w:rPr>
  </w:style>
  <w:style w:type="character" w:styleId="825">
    <w:name w:val="Heading 7 Char"/>
    <w:basedOn w:val="978"/>
    <w:link w:val="975"/>
    <w:uiPriority w:val="9"/>
    <w:rPr>
      <w:rFonts w:ascii="Arial" w:hAnsi="Arial" w:eastAsia="Arial" w:cs="Arial"/>
      <w:b/>
      <w:bCs/>
      <w:i/>
      <w:iCs/>
      <w:sz w:val="22"/>
      <w:szCs w:val="22"/>
    </w:rPr>
  </w:style>
  <w:style w:type="character" w:styleId="826">
    <w:name w:val="Heading 8 Char"/>
    <w:basedOn w:val="978"/>
    <w:link w:val="976"/>
    <w:uiPriority w:val="9"/>
    <w:rPr>
      <w:rFonts w:ascii="Arial" w:hAnsi="Arial" w:eastAsia="Arial" w:cs="Arial"/>
      <w:i/>
      <w:iCs/>
      <w:sz w:val="22"/>
      <w:szCs w:val="22"/>
    </w:rPr>
  </w:style>
  <w:style w:type="character" w:styleId="827">
    <w:name w:val="Heading 9 Char"/>
    <w:basedOn w:val="978"/>
    <w:link w:val="977"/>
    <w:uiPriority w:val="9"/>
    <w:rPr>
      <w:rFonts w:ascii="Arial" w:hAnsi="Arial" w:eastAsia="Arial" w:cs="Arial"/>
      <w:i/>
      <w:iCs/>
      <w:sz w:val="21"/>
      <w:szCs w:val="21"/>
    </w:rPr>
  </w:style>
  <w:style w:type="character" w:styleId="828">
    <w:name w:val="Title Char"/>
    <w:basedOn w:val="978"/>
    <w:link w:val="1025"/>
    <w:uiPriority w:val="10"/>
    <w:rPr>
      <w:sz w:val="48"/>
      <w:szCs w:val="48"/>
    </w:rPr>
  </w:style>
  <w:style w:type="character" w:styleId="829">
    <w:name w:val="Subtitle Char"/>
    <w:basedOn w:val="978"/>
    <w:link w:val="1011"/>
    <w:uiPriority w:val="11"/>
    <w:rPr>
      <w:sz w:val="24"/>
      <w:szCs w:val="24"/>
    </w:rPr>
  </w:style>
  <w:style w:type="paragraph" w:styleId="830">
    <w:name w:val="Quote"/>
    <w:basedOn w:val="968"/>
    <w:next w:val="968"/>
    <w:link w:val="831"/>
    <w:uiPriority w:val="29"/>
    <w:qFormat/>
    <w:pPr>
      <w:ind w:left="720" w:right="720"/>
    </w:pPr>
    <w:rPr>
      <w:i/>
    </w:rPr>
  </w:style>
  <w:style w:type="character" w:styleId="831">
    <w:name w:val="Quote Char"/>
    <w:link w:val="830"/>
    <w:uiPriority w:val="29"/>
    <w:rPr>
      <w:i/>
    </w:rPr>
  </w:style>
  <w:style w:type="paragraph" w:styleId="832">
    <w:name w:val="Intense Quote"/>
    <w:basedOn w:val="968"/>
    <w:next w:val="968"/>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character" w:styleId="834">
    <w:name w:val="Header Char"/>
    <w:basedOn w:val="978"/>
    <w:link w:val="1006"/>
    <w:uiPriority w:val="99"/>
  </w:style>
  <w:style w:type="character" w:styleId="835">
    <w:name w:val="Footer Char"/>
    <w:basedOn w:val="978"/>
    <w:link w:val="1004"/>
    <w:uiPriority w:val="99"/>
  </w:style>
  <w:style w:type="paragraph" w:styleId="836">
    <w:name w:val="Caption"/>
    <w:basedOn w:val="968"/>
    <w:next w:val="968"/>
    <w:uiPriority w:val="35"/>
    <w:semiHidden/>
    <w:unhideWhenUsed/>
    <w:qFormat/>
    <w:pPr>
      <w:spacing w:line="276" w:lineRule="auto"/>
    </w:pPr>
    <w:rPr>
      <w:b/>
      <w:bCs/>
      <w:color w:val="4f81bd" w:themeColor="accent1"/>
      <w:sz w:val="18"/>
      <w:szCs w:val="18"/>
    </w:rPr>
  </w:style>
  <w:style w:type="character" w:styleId="837">
    <w:name w:val="Caption Char"/>
    <w:basedOn w:val="836"/>
    <w:link w:val="1004"/>
    <w:uiPriority w:val="99"/>
  </w:style>
  <w:style w:type="table" w:styleId="838">
    <w:name w:val="Table Grid Light"/>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basedOn w:val="9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basedOn w:val="9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basedOn w:val="9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basedOn w:val="9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basedOn w:val="9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basedOn w:val="9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basedOn w:val="9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basedOn w:val="9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basedOn w:val="9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basedOn w:val="9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basedOn w:val="9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basedOn w:val="9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basedOn w:val="9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basedOn w:val="9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basedOn w:val="9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basedOn w:val="9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basedOn w:val="9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basedOn w:val="9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basedOn w:val="9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basedOn w:val="9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basedOn w:val="9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basedOn w:val="9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basedOn w:val="9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Footnote Text Char"/>
    <w:link w:val="1013"/>
    <w:uiPriority w:val="99"/>
    <w:rPr>
      <w:sz w:val="18"/>
    </w:rPr>
  </w:style>
  <w:style w:type="paragraph" w:styleId="964">
    <w:name w:val="endnote text"/>
    <w:basedOn w:val="968"/>
    <w:link w:val="965"/>
    <w:uiPriority w:val="99"/>
    <w:semiHidden/>
    <w:unhideWhenUsed/>
    <w:pPr>
      <w:spacing w:after="0" w:line="240" w:lineRule="auto"/>
    </w:pPr>
    <w:rPr>
      <w:sz w:val="20"/>
    </w:rPr>
  </w:style>
  <w:style w:type="character" w:styleId="965">
    <w:name w:val="Endnote Text Char"/>
    <w:link w:val="964"/>
    <w:uiPriority w:val="99"/>
    <w:rPr>
      <w:sz w:val="20"/>
    </w:rPr>
  </w:style>
  <w:style w:type="character" w:styleId="966">
    <w:name w:val="endnote reference"/>
    <w:basedOn w:val="978"/>
    <w:uiPriority w:val="99"/>
    <w:semiHidden/>
    <w:unhideWhenUsed/>
    <w:rPr>
      <w:vertAlign w:val="superscript"/>
    </w:rPr>
  </w:style>
  <w:style w:type="paragraph" w:styleId="967">
    <w:name w:val="TOC Heading"/>
    <w:uiPriority w:val="39"/>
    <w:unhideWhenUsed/>
  </w:style>
  <w:style w:type="paragraph" w:styleId="968" w:default="1">
    <w:name w:val="Normal"/>
    <w:next w:val="980"/>
    <w:uiPriority w:val="0"/>
    <w:qFormat/>
    <w:pPr>
      <w:jc w:val="both"/>
      <w:widowControl w:val="off"/>
    </w:pPr>
    <w:rPr>
      <w:rFonts w:ascii="Calibri" w:hAnsi="Calibri" w:eastAsia="宋体" w:cs="Times New Roman"/>
      <w:sz w:val="21"/>
      <w:szCs w:val="24"/>
      <w:lang w:val="en-US" w:eastAsia="zh-CN" w:bidi="ar-SA"/>
    </w:rPr>
  </w:style>
  <w:style w:type="paragraph" w:styleId="969">
    <w:name w:val="Heading 1"/>
    <w:basedOn w:val="971"/>
    <w:next w:val="968"/>
    <w:link w:val="1038"/>
    <w:uiPriority w:val="9"/>
    <w:qFormat/>
    <w:pPr>
      <w:spacing w:before="340" w:after="330" w:line="576" w:lineRule="auto"/>
      <w:outlineLvl w:val="0"/>
    </w:pPr>
    <w:rPr>
      <w:sz w:val="44"/>
      <w:szCs w:val="44"/>
    </w:rPr>
  </w:style>
  <w:style w:type="paragraph" w:styleId="970">
    <w:name w:val="Heading 2"/>
    <w:basedOn w:val="968"/>
    <w:next w:val="968"/>
    <w:link w:val="1039"/>
    <w:uiPriority w:val="0"/>
    <w:qFormat/>
    <w:pPr>
      <w:keepLines/>
      <w:keepNext/>
      <w:spacing w:before="260" w:after="260" w:line="415" w:lineRule="auto"/>
      <w:outlineLvl w:val="1"/>
    </w:pPr>
    <w:rPr>
      <w:rFonts w:ascii="Arial" w:hAnsi="Arial" w:eastAsia="黑体"/>
      <w:b/>
      <w:bCs/>
      <w:sz w:val="32"/>
      <w:szCs w:val="32"/>
    </w:rPr>
  </w:style>
  <w:style w:type="paragraph" w:styleId="971">
    <w:name w:val="Heading 3"/>
    <w:basedOn w:val="968"/>
    <w:next w:val="968"/>
    <w:link w:val="1179"/>
    <w:uiPriority w:val="9"/>
    <w:qFormat/>
    <w:pPr>
      <w:keepLines/>
      <w:keepNext/>
      <w:spacing w:before="260" w:after="260" w:line="415" w:lineRule="auto"/>
      <w:outlineLvl w:val="2"/>
    </w:pPr>
    <w:rPr>
      <w:b/>
      <w:bCs/>
      <w:sz w:val="32"/>
      <w:szCs w:val="32"/>
    </w:rPr>
  </w:style>
  <w:style w:type="paragraph" w:styleId="972">
    <w:name w:val="Heading 4"/>
    <w:basedOn w:val="968"/>
    <w:next w:val="968"/>
    <w:uiPriority w:val="0"/>
    <w:qFormat/>
    <w:pPr>
      <w:keepLines/>
      <w:keepNext/>
      <w:spacing w:before="280" w:after="290" w:line="376" w:lineRule="auto"/>
      <w:outlineLvl w:val="3"/>
    </w:pPr>
    <w:rPr>
      <w:rFonts w:ascii="Arial" w:hAnsi="Arial" w:eastAsia="黑体"/>
      <w:b/>
      <w:bCs/>
      <w:sz w:val="28"/>
      <w:szCs w:val="28"/>
    </w:rPr>
  </w:style>
  <w:style w:type="paragraph" w:styleId="973">
    <w:name w:val="Heading 5"/>
    <w:basedOn w:val="968"/>
    <w:next w:val="968"/>
    <w:link w:val="1040"/>
    <w:uiPriority w:val="0"/>
    <w:qFormat/>
    <w:pPr>
      <w:jc w:val="left"/>
      <w:keepLines/>
      <w:keepNext/>
      <w:spacing w:before="280" w:after="290" w:line="376" w:lineRule="atLeast"/>
      <w:outlineLvl w:val="4"/>
    </w:pPr>
    <w:rPr>
      <w:rFonts w:ascii="宋体" w:hAnsi="Tms Rmn"/>
      <w:b/>
      <w:sz w:val="28"/>
      <w:szCs w:val="20"/>
    </w:rPr>
  </w:style>
  <w:style w:type="paragraph" w:styleId="974">
    <w:name w:val="Heading 6"/>
    <w:basedOn w:val="968"/>
    <w:next w:val="968"/>
    <w:link w:val="1041"/>
    <w:uiPriority w:val="0"/>
    <w:qFormat/>
    <w:pPr>
      <w:jc w:val="left"/>
      <w:keepLines/>
      <w:keepNext/>
      <w:spacing w:before="240" w:after="64" w:line="320" w:lineRule="atLeast"/>
      <w:outlineLvl w:val="5"/>
    </w:pPr>
    <w:rPr>
      <w:rFonts w:ascii="黑体" w:hAnsi="Tms Rmn" w:eastAsia="黑体"/>
      <w:b/>
      <w:sz w:val="24"/>
      <w:szCs w:val="20"/>
    </w:rPr>
  </w:style>
  <w:style w:type="paragraph" w:styleId="975">
    <w:name w:val="Heading 7"/>
    <w:basedOn w:val="968"/>
    <w:next w:val="968"/>
    <w:link w:val="1042"/>
    <w:uiPriority w:val="0"/>
    <w:qFormat/>
    <w:pPr>
      <w:jc w:val="left"/>
      <w:keepLines/>
      <w:keepNext/>
      <w:spacing w:before="240" w:after="64" w:line="320" w:lineRule="atLeast"/>
      <w:outlineLvl w:val="6"/>
    </w:pPr>
    <w:rPr>
      <w:rFonts w:ascii="宋体" w:hAnsi="Tms Rmn"/>
      <w:b/>
      <w:sz w:val="24"/>
      <w:szCs w:val="20"/>
    </w:rPr>
  </w:style>
  <w:style w:type="paragraph" w:styleId="976">
    <w:name w:val="Heading 8"/>
    <w:basedOn w:val="968"/>
    <w:next w:val="968"/>
    <w:link w:val="1043"/>
    <w:uiPriority w:val="0"/>
    <w:qFormat/>
    <w:pPr>
      <w:keepLines/>
      <w:keepNext/>
      <w:spacing w:before="240" w:after="64" w:line="320" w:lineRule="auto"/>
      <w:outlineLvl w:val="7"/>
    </w:pPr>
    <w:rPr>
      <w:rFonts w:ascii="Arial" w:hAnsi="Arial" w:eastAsia="黑体"/>
      <w:sz w:val="24"/>
    </w:rPr>
  </w:style>
  <w:style w:type="paragraph" w:styleId="977">
    <w:name w:val="Heading 9"/>
    <w:basedOn w:val="968"/>
    <w:next w:val="968"/>
    <w:link w:val="1044"/>
    <w:uiPriority w:val="0"/>
    <w:qFormat/>
    <w:pPr>
      <w:keepLines/>
      <w:keepNext/>
      <w:spacing w:before="240" w:after="64" w:line="320" w:lineRule="auto"/>
      <w:outlineLvl w:val="8"/>
    </w:pPr>
    <w:rPr>
      <w:rFonts w:ascii="Arial" w:hAnsi="Arial" w:eastAsia="黑体"/>
      <w:szCs w:val="21"/>
    </w:rPr>
  </w:style>
  <w:style w:type="character" w:styleId="978" w:default="1">
    <w:name w:val="Default Paragraph Font"/>
    <w:uiPriority w:val="1"/>
    <w:semiHidden/>
    <w:unhideWhenUsed/>
    <w:qFormat/>
  </w:style>
  <w:style w:type="table" w:styleId="979" w:default="1">
    <w:name w:val="Normal Table"/>
    <w:uiPriority w:val="99"/>
    <w:semiHidden/>
    <w:unhideWhenUsed/>
    <w:tblPr>
      <w:tblLayout w:type="fixed"/>
      <w:tblCellMar>
        <w:left w:w="108" w:type="dxa"/>
        <w:top w:w="0" w:type="dxa"/>
        <w:right w:w="108" w:type="dxa"/>
        <w:bottom w:w="0" w:type="dxa"/>
      </w:tblCellMar>
    </w:tblPr>
  </w:style>
  <w:style w:type="paragraph" w:styleId="980" w:customStyle="1">
    <w:name w:val="正文文本11"/>
    <w:basedOn w:val="968"/>
    <w:uiPriority w:val="0"/>
    <w:qFormat/>
    <w:pPr>
      <w:jc w:val="left"/>
      <w:spacing w:line="360" w:lineRule="auto"/>
      <w:widowControl/>
    </w:pPr>
    <w:rPr>
      <w:sz w:val="24"/>
      <w:szCs w:val="20"/>
    </w:rPr>
  </w:style>
  <w:style w:type="paragraph" w:styleId="981">
    <w:name w:val="annotation subject"/>
    <w:basedOn w:val="982"/>
    <w:next w:val="982"/>
    <w:link w:val="1178"/>
    <w:uiPriority w:val="99"/>
    <w:qFormat/>
    <w:rPr>
      <w:b/>
      <w:bCs/>
    </w:rPr>
  </w:style>
  <w:style w:type="paragraph" w:styleId="982">
    <w:name w:val="annotation text"/>
    <w:basedOn w:val="968"/>
    <w:link w:val="1046"/>
    <w:uiPriority w:val="99"/>
    <w:qFormat/>
    <w:pPr>
      <w:jc w:val="left"/>
    </w:pPr>
  </w:style>
  <w:style w:type="paragraph" w:styleId="983">
    <w:name w:val="toc 7"/>
    <w:basedOn w:val="968"/>
    <w:next w:val="968"/>
    <w:uiPriority w:val="0"/>
    <w:qFormat/>
    <w:pPr>
      <w:ind w:left="2520"/>
    </w:pPr>
    <w:rPr>
      <w:rFonts w:eastAsia="楷体_GB2312"/>
      <w:sz w:val="26"/>
      <w:szCs w:val="20"/>
    </w:rPr>
  </w:style>
  <w:style w:type="paragraph" w:styleId="984">
    <w:name w:val="Body Text First Indent"/>
    <w:basedOn w:val="985"/>
    <w:link w:val="1055"/>
    <w:uiPriority w:val="0"/>
    <w:qFormat/>
    <w:pPr>
      <w:ind w:firstLine="420"/>
      <w:spacing w:after="120"/>
      <w:tabs>
        <w:tab w:val="left" w:pos="5250" w:leader="none"/>
      </w:tabs>
    </w:pPr>
    <w:rPr>
      <w:rFonts w:eastAsia="楷体_GB2312"/>
      <w:sz w:val="26"/>
      <w:szCs w:val="20"/>
    </w:rPr>
  </w:style>
  <w:style w:type="paragraph" w:styleId="985">
    <w:name w:val="Body Text"/>
    <w:basedOn w:val="968"/>
    <w:next w:val="968"/>
    <w:link w:val="1047"/>
    <w:uiPriority w:val="99"/>
    <w:qFormat/>
    <w:pPr>
      <w:tabs>
        <w:tab w:val="left" w:pos="5250" w:leader="none"/>
      </w:tabs>
    </w:pPr>
    <w:rPr>
      <w:sz w:val="28"/>
    </w:rPr>
  </w:style>
  <w:style w:type="paragraph" w:styleId="986">
    <w:name w:val="index 8"/>
    <w:basedOn w:val="968"/>
    <w:next w:val="968"/>
    <w:uiPriority w:val="0"/>
    <w:qFormat/>
    <w:pPr>
      <w:ind w:left="2940"/>
    </w:pPr>
    <w:rPr>
      <w:rFonts w:eastAsia="楷体_GB2312"/>
      <w:sz w:val="26"/>
      <w:szCs w:val="20"/>
    </w:rPr>
  </w:style>
  <w:style w:type="paragraph" w:styleId="987">
    <w:name w:val="List Number"/>
    <w:basedOn w:val="968"/>
    <w:uiPriority w:val="0"/>
    <w:qFormat/>
    <w:pPr>
      <w:ind w:left="1125" w:hanging="555"/>
      <w:tabs>
        <w:tab w:val="left" w:pos="1125" w:leader="none"/>
      </w:tabs>
    </w:pPr>
  </w:style>
  <w:style w:type="paragraph" w:styleId="988">
    <w:name w:val="Normal Indent"/>
    <w:basedOn w:val="968"/>
    <w:next w:val="968"/>
    <w:link w:val="1045"/>
    <w:uiPriority w:val="0"/>
    <w:qFormat/>
    <w:pPr>
      <w:ind w:firstLine="420"/>
      <w:jc w:val="left"/>
    </w:pPr>
    <w:rPr>
      <w:rFonts w:eastAsia="楷体_GB2312"/>
      <w:sz w:val="24"/>
      <w:szCs w:val="20"/>
    </w:rPr>
  </w:style>
  <w:style w:type="paragraph" w:styleId="989">
    <w:name w:val="index 5"/>
    <w:basedOn w:val="968"/>
    <w:next w:val="968"/>
    <w:uiPriority w:val="0"/>
    <w:qFormat/>
    <w:pPr>
      <w:ind w:left="1680"/>
    </w:pPr>
    <w:rPr>
      <w:rFonts w:eastAsia="楷体_GB2312"/>
      <w:sz w:val="26"/>
      <w:szCs w:val="20"/>
    </w:rPr>
  </w:style>
  <w:style w:type="paragraph" w:styleId="990">
    <w:name w:val="Document Map"/>
    <w:basedOn w:val="968"/>
    <w:uiPriority w:val="0"/>
    <w:semiHidden/>
    <w:qFormat/>
    <w:pPr>
      <w:shd w:val="clear" w:color="auto" w:fill="000080"/>
    </w:pPr>
  </w:style>
  <w:style w:type="paragraph" w:styleId="991">
    <w:name w:val="index 6"/>
    <w:basedOn w:val="968"/>
    <w:next w:val="968"/>
    <w:uiPriority w:val="0"/>
    <w:qFormat/>
    <w:pPr>
      <w:ind w:left="2100"/>
    </w:pPr>
    <w:rPr>
      <w:rFonts w:eastAsia="楷体_GB2312"/>
      <w:sz w:val="26"/>
      <w:szCs w:val="20"/>
    </w:rPr>
  </w:style>
  <w:style w:type="paragraph" w:styleId="992">
    <w:name w:val="Body Text Indent"/>
    <w:basedOn w:val="968"/>
    <w:next w:val="968"/>
    <w:link w:val="1037"/>
    <w:uiPriority w:val="0"/>
    <w:qFormat/>
    <w:pPr>
      <w:ind w:firstLine="560"/>
      <w:jc w:val="left"/>
      <w:spacing w:line="300" w:lineRule="auto"/>
    </w:pPr>
    <w:rPr>
      <w:sz w:val="28"/>
    </w:rPr>
  </w:style>
  <w:style w:type="paragraph" w:styleId="993">
    <w:name w:val="List 2"/>
    <w:basedOn w:val="968"/>
    <w:uiPriority w:val="0"/>
    <w:qFormat/>
    <w:pPr>
      <w:ind w:left="840" w:hanging="420"/>
    </w:pPr>
  </w:style>
  <w:style w:type="paragraph" w:styleId="994">
    <w:name w:val="Block Text"/>
    <w:basedOn w:val="968"/>
    <w:uiPriority w:val="0"/>
    <w:qFormat/>
    <w:pPr>
      <w:ind w:left="630" w:right="-609" w:firstLine="420"/>
      <w:spacing w:line="360" w:lineRule="auto"/>
    </w:pPr>
    <w:rPr>
      <w:rFonts w:hint="eastAsia" w:ascii="仿宋_GB2312" w:eastAsia="仿宋_GB2312"/>
      <w:szCs w:val="20"/>
    </w:rPr>
  </w:style>
  <w:style w:type="paragraph" w:styleId="995">
    <w:name w:val="index 4"/>
    <w:basedOn w:val="968"/>
    <w:next w:val="968"/>
    <w:uiPriority w:val="0"/>
    <w:qFormat/>
    <w:pPr>
      <w:ind w:left="1260"/>
    </w:pPr>
    <w:rPr>
      <w:rFonts w:eastAsia="楷体_GB2312"/>
      <w:sz w:val="26"/>
      <w:szCs w:val="20"/>
    </w:rPr>
  </w:style>
  <w:style w:type="paragraph" w:styleId="996">
    <w:name w:val="toc 5"/>
    <w:basedOn w:val="968"/>
    <w:next w:val="968"/>
    <w:uiPriority w:val="0"/>
    <w:qFormat/>
    <w:pPr>
      <w:ind w:left="1680"/>
    </w:pPr>
    <w:rPr>
      <w:rFonts w:eastAsia="楷体_GB2312"/>
      <w:sz w:val="26"/>
      <w:szCs w:val="20"/>
    </w:rPr>
  </w:style>
  <w:style w:type="paragraph" w:styleId="997">
    <w:name w:val="toc 3"/>
    <w:basedOn w:val="968"/>
    <w:next w:val="968"/>
    <w:uiPriority w:val="39"/>
    <w:qFormat/>
    <w:pPr>
      <w:ind w:left="840"/>
    </w:pPr>
    <w:rPr>
      <w:szCs w:val="20"/>
    </w:rPr>
  </w:style>
  <w:style w:type="paragraph" w:styleId="998">
    <w:name w:val="Plain Text"/>
    <w:basedOn w:val="968"/>
    <w:link w:val="1048"/>
    <w:uiPriority w:val="0"/>
    <w:qFormat/>
    <w:rPr>
      <w:rFonts w:ascii="宋体" w:hAnsi="Courier New" w:eastAsia="楷体_GB2312"/>
      <w:sz w:val="28"/>
      <w:szCs w:val="20"/>
    </w:rPr>
  </w:style>
  <w:style w:type="paragraph" w:styleId="999">
    <w:name w:val="toc 8"/>
    <w:basedOn w:val="968"/>
    <w:next w:val="968"/>
    <w:uiPriority w:val="0"/>
    <w:qFormat/>
    <w:pPr>
      <w:ind w:left="2940"/>
    </w:pPr>
    <w:rPr>
      <w:rFonts w:eastAsia="楷体_GB2312"/>
      <w:sz w:val="26"/>
      <w:szCs w:val="20"/>
    </w:rPr>
  </w:style>
  <w:style w:type="paragraph" w:styleId="1000">
    <w:name w:val="index 3"/>
    <w:basedOn w:val="968"/>
    <w:next w:val="968"/>
    <w:uiPriority w:val="0"/>
    <w:qFormat/>
    <w:pPr>
      <w:ind w:left="840"/>
    </w:pPr>
    <w:rPr>
      <w:rFonts w:eastAsia="楷体_GB2312"/>
      <w:sz w:val="26"/>
      <w:szCs w:val="20"/>
    </w:rPr>
  </w:style>
  <w:style w:type="paragraph" w:styleId="1001">
    <w:name w:val="Date"/>
    <w:basedOn w:val="968"/>
    <w:next w:val="968"/>
    <w:link w:val="1049"/>
    <w:uiPriority w:val="99"/>
    <w:qFormat/>
    <w:rPr>
      <w:szCs w:val="20"/>
    </w:rPr>
  </w:style>
  <w:style w:type="paragraph" w:styleId="1002">
    <w:name w:val="Body Text Indent 2"/>
    <w:basedOn w:val="968"/>
    <w:link w:val="1050"/>
    <w:uiPriority w:val="0"/>
    <w:qFormat/>
    <w:pPr>
      <w:ind w:left="840"/>
      <w:spacing w:line="360" w:lineRule="auto"/>
      <w:tabs>
        <w:tab w:val="left" w:pos="630" w:leader="none"/>
      </w:tabs>
    </w:pPr>
    <w:rPr>
      <w:rFonts w:ascii="宋体" w:hAnsi="宋体"/>
    </w:rPr>
  </w:style>
  <w:style w:type="paragraph" w:styleId="1003">
    <w:name w:val="Balloon Text"/>
    <w:basedOn w:val="968"/>
    <w:link w:val="1183"/>
    <w:uiPriority w:val="99"/>
    <w:qFormat/>
    <w:rPr>
      <w:sz w:val="18"/>
      <w:szCs w:val="18"/>
    </w:rPr>
  </w:style>
  <w:style w:type="paragraph" w:styleId="1004">
    <w:name w:val="Footer"/>
    <w:basedOn w:val="968"/>
    <w:next w:val="968"/>
    <w:link w:val="1171"/>
    <w:uiPriority w:val="99"/>
    <w:qFormat/>
    <w:pPr>
      <w:jc w:val="left"/>
      <w:tabs>
        <w:tab w:val="center" w:pos="4153" w:leader="none"/>
        <w:tab w:val="right" w:pos="8306" w:leader="none"/>
      </w:tabs>
    </w:pPr>
    <w:rPr>
      <w:sz w:val="18"/>
      <w:szCs w:val="18"/>
    </w:rPr>
  </w:style>
  <w:style w:type="paragraph" w:styleId="1005">
    <w:name w:val="Body Text First Indent 2"/>
    <w:basedOn w:val="992"/>
    <w:uiPriority w:val="0"/>
    <w:qFormat/>
    <w:pPr>
      <w:ind w:left="420" w:firstLine="200"/>
      <w:spacing w:after="120" w:line="240" w:lineRule="auto"/>
    </w:pPr>
    <w:rPr>
      <w:rFonts w:ascii="Times New Roman" w:hAnsi="Times New Roman"/>
      <w:sz w:val="21"/>
      <w:szCs w:val="20"/>
    </w:rPr>
  </w:style>
  <w:style w:type="paragraph" w:styleId="1006">
    <w:name w:val="Header"/>
    <w:basedOn w:val="968"/>
    <w:next w:val="985"/>
    <w:link w:val="1182"/>
    <w:uiPriority w:val="99"/>
    <w:qFormat/>
    <w:pPr>
      <w:jc w:val="center"/>
      <w:tabs>
        <w:tab w:val="center" w:pos="4153" w:leader="none"/>
        <w:tab w:val="right" w:pos="8306" w:leader="none"/>
      </w:tabs>
      <w:pBdr>
        <w:bottom w:val="single" w:color="auto" w:sz="6" w:space="1"/>
      </w:pBdr>
    </w:pPr>
    <w:rPr>
      <w:sz w:val="18"/>
      <w:szCs w:val="18"/>
    </w:rPr>
  </w:style>
  <w:style w:type="paragraph" w:styleId="1007">
    <w:name w:val="toc 1"/>
    <w:basedOn w:val="968"/>
    <w:next w:val="968"/>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1008">
    <w:name w:val="toc 4"/>
    <w:basedOn w:val="968"/>
    <w:next w:val="968"/>
    <w:uiPriority w:val="0"/>
    <w:qFormat/>
    <w:pPr>
      <w:ind w:left="1260"/>
    </w:pPr>
    <w:rPr>
      <w:rFonts w:eastAsia="楷体_GB2312"/>
      <w:sz w:val="26"/>
      <w:szCs w:val="20"/>
    </w:rPr>
  </w:style>
  <w:style w:type="paragraph" w:styleId="1009">
    <w:name w:val="index heading"/>
    <w:basedOn w:val="968"/>
    <w:next w:val="1010"/>
    <w:uiPriority w:val="0"/>
    <w:semiHidden/>
    <w:qFormat/>
    <w:rPr>
      <w:rFonts w:eastAsia="楷体_GB2312"/>
      <w:sz w:val="26"/>
      <w:szCs w:val="20"/>
    </w:rPr>
  </w:style>
  <w:style w:type="paragraph" w:styleId="1010">
    <w:name w:val="index 1"/>
    <w:basedOn w:val="968"/>
    <w:next w:val="968"/>
    <w:uiPriority w:val="0"/>
    <w:semiHidden/>
    <w:qFormat/>
  </w:style>
  <w:style w:type="paragraph" w:styleId="1011">
    <w:name w:val="Subtitle"/>
    <w:basedOn w:val="968"/>
    <w:next w:val="968"/>
    <w:uiPriority w:val="0"/>
    <w:qFormat/>
    <w:pPr>
      <w:jc w:val="left"/>
      <w:outlineLvl w:val="1"/>
    </w:pPr>
    <w:rPr>
      <w:rFonts w:ascii="Calibri Light" w:hAnsi="Calibri Light" w:eastAsia="仿宋"/>
      <w:b/>
      <w:bCs/>
      <w:sz w:val="28"/>
      <w:szCs w:val="32"/>
    </w:rPr>
  </w:style>
  <w:style w:type="paragraph" w:styleId="1012">
    <w:name w:val="List"/>
    <w:basedOn w:val="968"/>
    <w:uiPriority w:val="0"/>
    <w:qFormat/>
    <w:pPr>
      <w:ind w:left="420" w:hanging="420"/>
    </w:pPr>
  </w:style>
  <w:style w:type="paragraph" w:styleId="1013">
    <w:name w:val="footnote text"/>
    <w:basedOn w:val="968"/>
    <w:link w:val="1051"/>
    <w:uiPriority w:val="0"/>
    <w:qFormat/>
    <w:pPr>
      <w:jc w:val="left"/>
    </w:pPr>
    <w:rPr>
      <w:rFonts w:eastAsia="楷体_GB2312"/>
      <w:sz w:val="18"/>
      <w:szCs w:val="20"/>
    </w:rPr>
  </w:style>
  <w:style w:type="paragraph" w:styleId="1014">
    <w:name w:val="toc 6"/>
    <w:basedOn w:val="968"/>
    <w:next w:val="968"/>
    <w:uiPriority w:val="39"/>
    <w:qFormat/>
    <w:pPr>
      <w:ind w:left="2100"/>
    </w:pPr>
    <w:rPr>
      <w:rFonts w:eastAsia="楷体_GB2312"/>
      <w:sz w:val="26"/>
      <w:szCs w:val="20"/>
    </w:rPr>
  </w:style>
  <w:style w:type="paragraph" w:styleId="1015">
    <w:name w:val="Body Text Indent 3"/>
    <w:basedOn w:val="968"/>
    <w:uiPriority w:val="0"/>
    <w:qFormat/>
    <w:pPr>
      <w:ind w:firstLine="480"/>
      <w:spacing w:line="360" w:lineRule="auto"/>
      <w:widowControl/>
    </w:pPr>
    <w:rPr>
      <w:sz w:val="24"/>
    </w:rPr>
  </w:style>
  <w:style w:type="paragraph" w:styleId="1016">
    <w:name w:val="index 7"/>
    <w:basedOn w:val="968"/>
    <w:next w:val="968"/>
    <w:uiPriority w:val="0"/>
    <w:qFormat/>
    <w:pPr>
      <w:ind w:left="2520"/>
    </w:pPr>
    <w:rPr>
      <w:rFonts w:eastAsia="楷体_GB2312"/>
      <w:sz w:val="26"/>
      <w:szCs w:val="20"/>
    </w:rPr>
  </w:style>
  <w:style w:type="paragraph" w:styleId="1017">
    <w:name w:val="index 9"/>
    <w:basedOn w:val="968"/>
    <w:next w:val="968"/>
    <w:uiPriority w:val="0"/>
    <w:qFormat/>
    <w:pPr>
      <w:ind w:left="3360"/>
    </w:pPr>
    <w:rPr>
      <w:rFonts w:eastAsia="楷体_GB2312"/>
      <w:sz w:val="26"/>
      <w:szCs w:val="20"/>
    </w:rPr>
  </w:style>
  <w:style w:type="paragraph" w:styleId="1018">
    <w:name w:val="table of figures"/>
    <w:basedOn w:val="968"/>
    <w:next w:val="968"/>
    <w:uiPriority w:val="0"/>
    <w:qFormat/>
    <w:pPr>
      <w:ind w:left="420" w:hanging="420"/>
      <w:jc w:val="left"/>
    </w:pPr>
    <w:rPr>
      <w:rFonts w:eastAsia="楷体_GB2312"/>
      <w:smallCaps/>
      <w:sz w:val="24"/>
      <w:szCs w:val="20"/>
    </w:rPr>
  </w:style>
  <w:style w:type="paragraph" w:styleId="1019">
    <w:name w:val="toc 2"/>
    <w:basedOn w:val="968"/>
    <w:next w:val="968"/>
    <w:uiPriority w:val="39"/>
    <w:qFormat/>
    <w:pPr>
      <w:ind w:left="420"/>
      <w:spacing w:line="400" w:lineRule="exact"/>
      <w:tabs>
        <w:tab w:val="right" w:pos="9628" w:leader="dot"/>
      </w:tabs>
    </w:pPr>
    <w:rPr>
      <w:b/>
      <w:sz w:val="24"/>
      <w:szCs w:val="20"/>
    </w:rPr>
  </w:style>
  <w:style w:type="paragraph" w:styleId="1020">
    <w:name w:val="toc 9"/>
    <w:basedOn w:val="968"/>
    <w:next w:val="968"/>
    <w:uiPriority w:val="0"/>
    <w:qFormat/>
    <w:pPr>
      <w:ind w:left="3360"/>
    </w:pPr>
    <w:rPr>
      <w:rFonts w:eastAsia="楷体_GB2312"/>
      <w:sz w:val="26"/>
      <w:szCs w:val="20"/>
    </w:rPr>
  </w:style>
  <w:style w:type="paragraph" w:styleId="1021">
    <w:name w:val="Body Text 2"/>
    <w:basedOn w:val="968"/>
    <w:link w:val="1052"/>
    <w:uiPriority w:val="0"/>
    <w:qFormat/>
    <w:pPr>
      <w:spacing w:after="120" w:line="480" w:lineRule="auto"/>
    </w:pPr>
    <w:rPr>
      <w:rFonts w:eastAsia="楷体_GB2312"/>
      <w:sz w:val="26"/>
      <w:szCs w:val="20"/>
    </w:rPr>
  </w:style>
  <w:style w:type="paragraph" w:styleId="1022">
    <w:name w:val="HTML Preformatted"/>
    <w:basedOn w:val="968"/>
    <w:link w:val="10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3">
    <w:name w:val="Normal (Web)"/>
    <w:basedOn w:val="968"/>
    <w:uiPriority w:val="0"/>
    <w:qFormat/>
    <w:pPr>
      <w:jc w:val="left"/>
      <w:spacing w:before="100" w:beforeAutospacing="1" w:after="100" w:afterAutospacing="1"/>
      <w:widowControl/>
    </w:pPr>
    <w:rPr>
      <w:rFonts w:ascii="Arial Unicode MS" w:hAnsi="Arial Unicode MS" w:eastAsia="Times New Roman"/>
      <w:sz w:val="24"/>
    </w:rPr>
  </w:style>
  <w:style w:type="paragraph" w:styleId="1024">
    <w:name w:val="index 2"/>
    <w:basedOn w:val="968"/>
    <w:next w:val="968"/>
    <w:uiPriority w:val="0"/>
    <w:qFormat/>
    <w:pPr>
      <w:ind w:left="420"/>
    </w:pPr>
    <w:rPr>
      <w:rFonts w:eastAsia="楷体_GB2312"/>
      <w:sz w:val="26"/>
      <w:szCs w:val="20"/>
    </w:rPr>
  </w:style>
  <w:style w:type="paragraph" w:styleId="1025">
    <w:name w:val="Title"/>
    <w:basedOn w:val="968"/>
    <w:next w:val="968"/>
    <w:link w:val="1054"/>
    <w:uiPriority w:val="0"/>
    <w:qFormat/>
    <w:pPr>
      <w:jc w:val="center"/>
      <w:spacing w:before="240" w:after="60"/>
      <w:outlineLvl w:val="0"/>
    </w:pPr>
    <w:rPr>
      <w:rFonts w:ascii="等线 Light" w:hAnsi="等线 Light"/>
      <w:b/>
      <w:bCs/>
      <w:sz w:val="32"/>
      <w:szCs w:val="32"/>
    </w:rPr>
  </w:style>
  <w:style w:type="character" w:styleId="1026">
    <w:name w:val="Strong"/>
    <w:uiPriority w:val="0"/>
    <w:qFormat/>
    <w:rPr>
      <w:b/>
      <w:bCs/>
    </w:rPr>
  </w:style>
  <w:style w:type="character" w:styleId="1027">
    <w:name w:val="page number"/>
    <w:basedOn w:val="978"/>
    <w:uiPriority w:val="0"/>
    <w:qFormat/>
  </w:style>
  <w:style w:type="character" w:styleId="1028">
    <w:name w:val="FollowedHyperlink"/>
    <w:uiPriority w:val="99"/>
    <w:qFormat/>
    <w:rPr>
      <w:color w:val="333333"/>
      <w:u w:val="none"/>
    </w:rPr>
  </w:style>
  <w:style w:type="character" w:styleId="1029">
    <w:name w:val="Emphasis"/>
    <w:uiPriority w:val="0"/>
    <w:qFormat/>
    <w:rPr>
      <w:color w:val="cc0000"/>
    </w:rPr>
  </w:style>
  <w:style w:type="character" w:styleId="1030">
    <w:name w:val="Hyperlink"/>
    <w:uiPriority w:val="99"/>
    <w:qFormat/>
    <w:rPr>
      <w:color w:val="333333"/>
      <w:u w:val="none"/>
    </w:rPr>
  </w:style>
  <w:style w:type="character" w:styleId="1031">
    <w:name w:val="annotation reference"/>
    <w:uiPriority w:val="0"/>
    <w:qFormat/>
    <w:rPr>
      <w:sz w:val="21"/>
      <w:szCs w:val="21"/>
    </w:rPr>
  </w:style>
  <w:style w:type="character" w:styleId="1032">
    <w:name w:val="footnote reference"/>
    <w:uiPriority w:val="0"/>
    <w:qFormat/>
    <w:rPr>
      <w:vertAlign w:val="superscript"/>
    </w:rPr>
  </w:style>
  <w:style w:type="table" w:styleId="1033">
    <w:name w:val="Table Grid"/>
    <w:basedOn w:val="97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34">
    <w:name w:val="Table Classic 4"/>
    <w:basedOn w:val="979"/>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5" w:customStyle="1">
    <w:name w:val="首行缩进"/>
    <w:basedOn w:val="968"/>
    <w:uiPriority w:val="0"/>
    <w:qFormat/>
    <w:pPr>
      <w:ind w:firstLine="480"/>
      <w:jc w:val="left"/>
      <w:spacing w:line="360" w:lineRule="auto"/>
    </w:pPr>
    <w:rPr>
      <w:rFonts w:ascii="宋体" w:hAnsi="宋体"/>
      <w:sz w:val="24"/>
    </w:rPr>
  </w:style>
  <w:style w:type="paragraph" w:styleId="103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7" w:customStyle="1">
    <w:name w:val="正文文本缩进 字符"/>
    <w:link w:val="992"/>
    <w:uiPriority w:val="0"/>
    <w:qFormat/>
    <w:rPr>
      <w:sz w:val="28"/>
      <w:szCs w:val="24"/>
    </w:rPr>
  </w:style>
  <w:style w:type="character" w:styleId="1038" w:customStyle="1">
    <w:name w:val="标题 1 字符1"/>
    <w:link w:val="969"/>
    <w:uiPriority w:val="0"/>
    <w:qFormat/>
    <w:rPr>
      <w:b/>
      <w:bCs/>
      <w:sz w:val="44"/>
      <w:szCs w:val="44"/>
    </w:rPr>
  </w:style>
  <w:style w:type="character" w:styleId="1039" w:customStyle="1">
    <w:name w:val="标题 2 字符"/>
    <w:link w:val="970"/>
    <w:uiPriority w:val="0"/>
    <w:qFormat/>
    <w:rPr>
      <w:rFonts w:ascii="Arial" w:hAnsi="Arial" w:eastAsia="黑体"/>
      <w:b/>
      <w:bCs/>
      <w:sz w:val="32"/>
      <w:szCs w:val="32"/>
    </w:rPr>
  </w:style>
  <w:style w:type="character" w:styleId="1040" w:customStyle="1">
    <w:name w:val="标题 5 字符"/>
    <w:link w:val="973"/>
    <w:uiPriority w:val="0"/>
    <w:qFormat/>
    <w:rPr>
      <w:rFonts w:ascii="宋体" w:hAnsi="Tms Rmn"/>
      <w:b/>
      <w:sz w:val="28"/>
    </w:rPr>
  </w:style>
  <w:style w:type="character" w:styleId="1041" w:customStyle="1">
    <w:name w:val="标题 6 字符"/>
    <w:link w:val="974"/>
    <w:uiPriority w:val="0"/>
    <w:qFormat/>
    <w:rPr>
      <w:rFonts w:ascii="黑体" w:hAnsi="Tms Rmn" w:eastAsia="黑体"/>
      <w:b/>
      <w:sz w:val="24"/>
    </w:rPr>
  </w:style>
  <w:style w:type="character" w:styleId="1042" w:customStyle="1">
    <w:name w:val="标题 7 字符"/>
    <w:link w:val="975"/>
    <w:uiPriority w:val="0"/>
    <w:qFormat/>
    <w:rPr>
      <w:rFonts w:ascii="宋体" w:hAnsi="Tms Rmn"/>
      <w:b/>
      <w:sz w:val="24"/>
    </w:rPr>
  </w:style>
  <w:style w:type="character" w:styleId="1043" w:customStyle="1">
    <w:name w:val="标题 8 字符"/>
    <w:link w:val="976"/>
    <w:uiPriority w:val="0"/>
    <w:qFormat/>
    <w:rPr>
      <w:rFonts w:ascii="Arial" w:hAnsi="Arial" w:eastAsia="黑体"/>
      <w:sz w:val="24"/>
      <w:szCs w:val="24"/>
    </w:rPr>
  </w:style>
  <w:style w:type="character" w:styleId="1044" w:customStyle="1">
    <w:name w:val="标题 9 字符"/>
    <w:link w:val="977"/>
    <w:uiPriority w:val="0"/>
    <w:qFormat/>
    <w:rPr>
      <w:rFonts w:ascii="Arial" w:hAnsi="Arial" w:eastAsia="黑体"/>
      <w:sz w:val="21"/>
      <w:szCs w:val="21"/>
    </w:rPr>
  </w:style>
  <w:style w:type="character" w:styleId="1045" w:customStyle="1">
    <w:name w:val="正文缩进 字符1"/>
    <w:link w:val="988"/>
    <w:uiPriority w:val="0"/>
    <w:qFormat/>
    <w:rPr>
      <w:rFonts w:eastAsia="楷体_GB2312"/>
      <w:sz w:val="24"/>
      <w:lang w:val="en-US" w:eastAsia="zh-CN" w:bidi="ar-SA"/>
    </w:rPr>
  </w:style>
  <w:style w:type="character" w:styleId="1046" w:customStyle="1">
    <w:name w:val="批注文字 字符1"/>
    <w:link w:val="982"/>
    <w:uiPriority w:val="99"/>
    <w:qFormat/>
    <w:rPr>
      <w:sz w:val="21"/>
      <w:szCs w:val="24"/>
    </w:rPr>
  </w:style>
  <w:style w:type="character" w:styleId="1047" w:customStyle="1">
    <w:name w:val="正文文本 字符"/>
    <w:link w:val="985"/>
    <w:uiPriority w:val="99"/>
    <w:qFormat/>
    <w:rPr>
      <w:sz w:val="28"/>
      <w:szCs w:val="24"/>
    </w:rPr>
  </w:style>
  <w:style w:type="character" w:styleId="1048" w:customStyle="1">
    <w:name w:val="纯文本 字符"/>
    <w:link w:val="998"/>
    <w:uiPriority w:val="0"/>
    <w:qFormat/>
    <w:rPr>
      <w:rFonts w:ascii="宋体" w:hAnsi="Courier New" w:eastAsia="楷体_GB2312"/>
      <w:sz w:val="28"/>
    </w:rPr>
  </w:style>
  <w:style w:type="character" w:styleId="1049" w:customStyle="1">
    <w:name w:val="日期 字符"/>
    <w:link w:val="1001"/>
    <w:uiPriority w:val="99"/>
    <w:qFormat/>
    <w:rPr>
      <w:sz w:val="21"/>
    </w:rPr>
  </w:style>
  <w:style w:type="character" w:styleId="1050" w:customStyle="1">
    <w:name w:val="正文文本缩进 2 字符"/>
    <w:link w:val="1002"/>
    <w:uiPriority w:val="0"/>
    <w:qFormat/>
    <w:rPr>
      <w:rFonts w:ascii="宋体" w:hAnsi="宋体"/>
      <w:sz w:val="21"/>
      <w:szCs w:val="24"/>
    </w:rPr>
  </w:style>
  <w:style w:type="character" w:styleId="1051" w:customStyle="1">
    <w:name w:val="脚注文本 字符"/>
    <w:link w:val="1013"/>
    <w:uiPriority w:val="0"/>
    <w:qFormat/>
    <w:rPr>
      <w:rFonts w:eastAsia="楷体_GB2312"/>
      <w:sz w:val="18"/>
    </w:rPr>
  </w:style>
  <w:style w:type="character" w:styleId="1052" w:customStyle="1">
    <w:name w:val="正文文本 2 字符"/>
    <w:link w:val="1021"/>
    <w:uiPriority w:val="0"/>
    <w:qFormat/>
    <w:rPr>
      <w:rFonts w:eastAsia="楷体_GB2312"/>
      <w:sz w:val="26"/>
    </w:rPr>
  </w:style>
  <w:style w:type="character" w:styleId="1053" w:customStyle="1">
    <w:name w:val="HTML 预设格式 字符"/>
    <w:link w:val="1022"/>
    <w:uiPriority w:val="99"/>
    <w:qFormat/>
    <w:rPr>
      <w:rFonts w:ascii="宋体" w:hAnsi="宋体" w:cs="宋体"/>
      <w:sz w:val="24"/>
      <w:szCs w:val="24"/>
    </w:rPr>
  </w:style>
  <w:style w:type="character" w:styleId="1054" w:customStyle="1">
    <w:name w:val="标题 字符"/>
    <w:link w:val="1025"/>
    <w:uiPriority w:val="0"/>
    <w:qFormat/>
    <w:rPr>
      <w:rFonts w:ascii="等线 Light" w:hAnsi="等线 Light"/>
      <w:b/>
      <w:bCs/>
      <w:sz w:val="32"/>
      <w:szCs w:val="32"/>
    </w:rPr>
  </w:style>
  <w:style w:type="character" w:styleId="1055" w:customStyle="1">
    <w:name w:val="正文文本首行缩进 字符"/>
    <w:link w:val="984"/>
    <w:uiPriority w:val="0"/>
    <w:qFormat/>
    <w:rPr>
      <w:rFonts w:eastAsia="楷体_GB2312"/>
      <w:sz w:val="26"/>
      <w:szCs w:val="24"/>
    </w:rPr>
  </w:style>
  <w:style w:type="character" w:styleId="1056" w:customStyle="1">
    <w:name w:val="正文缩进 字符"/>
    <w:uiPriority w:val="0"/>
    <w:qFormat/>
    <w:rPr>
      <w:rFonts w:eastAsia="楷体_GB2312"/>
      <w:sz w:val="24"/>
      <w:lang w:val="en-US" w:eastAsia="zh-CN" w:bidi="ar-SA"/>
    </w:rPr>
  </w:style>
  <w:style w:type="character" w:styleId="1057" w:customStyle="1">
    <w:name w:val="Char Char4"/>
    <w:uiPriority w:val="0"/>
    <w:qFormat/>
    <w:rPr>
      <w:b/>
      <w:bCs/>
      <w:sz w:val="21"/>
      <w:szCs w:val="24"/>
    </w:rPr>
  </w:style>
  <w:style w:type="character" w:styleId="1058" w:customStyle="1">
    <w:name w:val="Char Char"/>
    <w:uiPriority w:val="0"/>
    <w:qFormat/>
    <w:rPr>
      <w:sz w:val="18"/>
      <w:szCs w:val="18"/>
    </w:rPr>
  </w:style>
  <w:style w:type="character" w:styleId="1059" w:customStyle="1">
    <w:name w:val="Andy_2级 Char"/>
    <w:link w:val="1060"/>
    <w:uiPriority w:val="0"/>
    <w:qFormat/>
    <w:rPr>
      <w:rFonts w:ascii="Calibri" w:hAnsi="Calibri"/>
      <w:sz w:val="24"/>
    </w:rPr>
  </w:style>
  <w:style w:type="paragraph" w:styleId="1060" w:customStyle="1">
    <w:name w:val="Andy_2级"/>
    <w:basedOn w:val="1061"/>
    <w:link w:val="1059"/>
    <w:uiPriority w:val="0"/>
    <w:qFormat/>
    <w:pPr>
      <w:ind w:firstLine="510"/>
    </w:pPr>
    <w:rPr>
      <w:szCs w:val="20"/>
    </w:rPr>
  </w:style>
  <w:style w:type="paragraph" w:styleId="1061" w:customStyle="1">
    <w:name w:val="Andy_二级"/>
    <w:basedOn w:val="968"/>
    <w:uiPriority w:val="0"/>
    <w:qFormat/>
    <w:pPr>
      <w:numPr>
        <w:ilvl w:val="1"/>
        <w:numId w:val="2"/>
      </w:numPr>
      <w:ind w:left="0" w:firstLine="0"/>
      <w:spacing w:line="360" w:lineRule="auto"/>
    </w:pPr>
    <w:rPr>
      <w:sz w:val="24"/>
      <w:szCs w:val="22"/>
    </w:rPr>
  </w:style>
  <w:style w:type="character" w:styleId="1062" w:customStyle="1">
    <w:name w:val="批注文字 Char"/>
    <w:uiPriority w:val="0"/>
    <w:qFormat/>
    <w:rPr>
      <w:rFonts w:eastAsia="楷体_GB2312"/>
      <w:sz w:val="26"/>
    </w:rPr>
  </w:style>
  <w:style w:type="character" w:styleId="1063" w:customStyle="1">
    <w:name w:val="标题 Char2"/>
    <w:uiPriority w:val="0"/>
    <w:qFormat/>
    <w:rPr>
      <w:rFonts w:ascii="Cambria" w:hAnsi="Cambria" w:cs="Times New Roman"/>
      <w:b/>
      <w:bCs/>
      <w:sz w:val="32"/>
      <w:szCs w:val="32"/>
    </w:rPr>
  </w:style>
  <w:style w:type="character" w:styleId="1064" w:customStyle="1">
    <w:name w:val="Char Char5"/>
    <w:uiPriority w:val="0"/>
    <w:qFormat/>
    <w:rPr>
      <w:rFonts w:eastAsia="楷体_GB2312"/>
      <w:sz w:val="24"/>
    </w:rPr>
  </w:style>
  <w:style w:type="character" w:styleId="1065" w:customStyle="1">
    <w:name w:val="a-size-large1"/>
    <w:uiPriority w:val="0"/>
    <w:qFormat/>
    <w:rPr>
      <w:rFonts w:hint="default" w:ascii="Arial" w:hAnsi="Arial" w:cs="Arial"/>
    </w:rPr>
  </w:style>
  <w:style w:type="character" w:styleId="1066" w:customStyle="1">
    <w:name w:val="CL 正文1.25 Char"/>
    <w:link w:val="1067"/>
    <w:uiPriority w:val="0"/>
    <w:qFormat/>
    <w:rPr>
      <w:rFonts w:ascii="Cambria" w:hAnsi="Cambria"/>
      <w:spacing w:val="4"/>
      <w:sz w:val="24"/>
      <w:szCs w:val="21"/>
    </w:rPr>
  </w:style>
  <w:style w:type="paragraph" w:styleId="1067" w:customStyle="1">
    <w:name w:val="CL 正文1.25"/>
    <w:basedOn w:val="968"/>
    <w:link w:val="1066"/>
    <w:uiPriority w:val="0"/>
    <w:qFormat/>
    <w:pPr>
      <w:ind w:firstLine="200"/>
      <w:spacing w:line="360" w:lineRule="auto"/>
    </w:pPr>
    <w:rPr>
      <w:rFonts w:ascii="Cambria" w:hAnsi="Cambria"/>
      <w:spacing w:val="4"/>
      <w:sz w:val="24"/>
      <w:szCs w:val="21"/>
    </w:rPr>
  </w:style>
  <w:style w:type="character" w:styleId="1068" w:customStyle="1">
    <w:name w:val="正文文本缩进 2 Char"/>
    <w:uiPriority w:val="0"/>
    <w:qFormat/>
    <w:rPr>
      <w:rFonts w:ascii="宋体"/>
      <w:b/>
      <w:bCs/>
      <w:sz w:val="24"/>
    </w:rPr>
  </w:style>
  <w:style w:type="character" w:styleId="1069" w:customStyle="1">
    <w:name w:val="样式 首行缩进:  2 字符 Char"/>
    <w:link w:val="1070"/>
    <w:uiPriority w:val="0"/>
    <w:qFormat/>
    <w:rPr>
      <w:rFonts w:eastAsia="仿宋_GB2312"/>
      <w:sz w:val="24"/>
    </w:rPr>
  </w:style>
  <w:style w:type="paragraph" w:styleId="1070" w:customStyle="1">
    <w:name w:val="样式 首行缩进:  2 字符"/>
    <w:basedOn w:val="968"/>
    <w:link w:val="1069"/>
    <w:uiPriority w:val="0"/>
    <w:qFormat/>
    <w:pPr>
      <w:ind w:firstLine="560"/>
      <w:spacing w:line="360" w:lineRule="auto"/>
    </w:pPr>
    <w:rPr>
      <w:rFonts w:eastAsia="仿宋_GB2312"/>
      <w:sz w:val="24"/>
      <w:szCs w:val="20"/>
    </w:rPr>
  </w:style>
  <w:style w:type="character" w:styleId="1071" w:customStyle="1">
    <w:name w:val="正文缩进 Char2"/>
    <w:uiPriority w:val="0"/>
    <w:qFormat/>
    <w:rPr>
      <w:rFonts w:eastAsia="楷体_GB2312"/>
      <w:sz w:val="24"/>
      <w:lang w:val="en-US" w:eastAsia="zh-CN" w:bidi="ar-SA"/>
    </w:rPr>
  </w:style>
  <w:style w:type="character" w:styleId="1072" w:customStyle="1">
    <w:name w:val="列出段落 Char"/>
    <w:uiPriority w:val="34"/>
    <w:qFormat/>
    <w:rPr>
      <w:rFonts w:ascii="Calibri" w:hAnsi="Calibri" w:eastAsia="宋体"/>
      <w:sz w:val="22"/>
      <w:lang w:bidi="ar-SA"/>
    </w:rPr>
  </w:style>
  <w:style w:type="character" w:styleId="1073" w:customStyle="1">
    <w:name w:val="ca-221"/>
    <w:uiPriority w:val="0"/>
    <w:qFormat/>
    <w:rPr>
      <w:rFonts w:hint="eastAsia" w:ascii="宋体" w:hAnsi="宋体" w:eastAsia="宋体"/>
      <w:color w:val="ff0000"/>
      <w:sz w:val="24"/>
      <w:szCs w:val="24"/>
    </w:rPr>
  </w:style>
  <w:style w:type="character" w:styleId="1074" w:customStyle="1">
    <w:name w:val="纯文本 Char1"/>
    <w:uiPriority w:val="99"/>
    <w:qFormat/>
    <w:rPr>
      <w:rFonts w:ascii="宋体" w:hAnsi="Courier New" w:eastAsia="楷体_GB2312"/>
      <w:sz w:val="26"/>
      <w:szCs w:val="24"/>
    </w:rPr>
  </w:style>
  <w:style w:type="character" w:styleId="1075" w:customStyle="1">
    <w:name w:val="标题 Char"/>
    <w:uiPriority w:val="0"/>
    <w:qFormat/>
    <w:rPr>
      <w:rFonts w:ascii="Cambria" w:hAnsi="Cambria" w:cs="Times New Roman"/>
      <w:b/>
      <w:bCs/>
      <w:sz w:val="32"/>
      <w:szCs w:val="32"/>
    </w:rPr>
  </w:style>
  <w:style w:type="character" w:styleId="1076" w:customStyle="1">
    <w:name w:val="批注文字 字符"/>
    <w:uiPriority w:val="0"/>
    <w:qFormat/>
    <w:rPr>
      <w:sz w:val="21"/>
      <w:szCs w:val="24"/>
    </w:rPr>
  </w:style>
  <w:style w:type="character" w:styleId="1077" w:customStyle="1">
    <w:name w:val="para1"/>
    <w:uiPriority w:val="0"/>
    <w:qFormat/>
    <w:rPr>
      <w:rFonts w:hint="default" w:ascii="Arial" w:hAnsi="Arial" w:cs="Arial"/>
      <w:sz w:val="18"/>
      <w:szCs w:val="18"/>
    </w:rPr>
  </w:style>
  <w:style w:type="character" w:styleId="1078" w:customStyle="1">
    <w:name w:val="中等深浅网格 1 - 着色 2 字符"/>
    <w:link w:val="1079"/>
    <w:uiPriority w:val="34"/>
    <w:qFormat/>
    <w:rPr>
      <w:sz w:val="21"/>
      <w:szCs w:val="24"/>
    </w:rPr>
  </w:style>
  <w:style w:type="paragraph" w:styleId="1079" w:customStyle="1">
    <w:name w:val="中等深浅网格 1 - 着色 21"/>
    <w:basedOn w:val="968"/>
    <w:link w:val="1078"/>
    <w:uiPriority w:val="34"/>
    <w:qFormat/>
    <w:pPr>
      <w:ind w:firstLine="420"/>
      <w:jc w:val="left"/>
      <w:spacing w:line="360" w:lineRule="auto"/>
    </w:pPr>
  </w:style>
  <w:style w:type="character" w:styleId="1080" w:customStyle="1">
    <w:name w:val="title_emph1"/>
    <w:uiPriority w:val="0"/>
    <w:qFormat/>
    <w:rPr>
      <w:rFonts w:hint="default" w:ascii="Arial" w:hAnsi="Arial" w:cs="Arial"/>
      <w:b/>
      <w:bCs/>
      <w:sz w:val="20"/>
      <w:szCs w:val="20"/>
    </w:rPr>
  </w:style>
  <w:style w:type="character" w:styleId="1081" w:customStyle="1">
    <w:name w:val="正文文本 Char"/>
    <w:uiPriority w:val="0"/>
    <w:qFormat/>
    <w:rPr>
      <w:rFonts w:ascii="楷体_GB2312" w:eastAsia="楷体_GB2312"/>
      <w:sz w:val="28"/>
      <w:lang w:val="en-US" w:eastAsia="zh-CN" w:bidi="ar-SA"/>
    </w:rPr>
  </w:style>
  <w:style w:type="character" w:styleId="1082" w:customStyle="1">
    <w:name w:val="Char Char3"/>
    <w:uiPriority w:val="0"/>
    <w:qFormat/>
    <w:rPr>
      <w:sz w:val="21"/>
      <w:szCs w:val="24"/>
    </w:rPr>
  </w:style>
  <w:style w:type="character" w:styleId="1083" w:customStyle="1">
    <w:name w:val="Char Char2"/>
    <w:uiPriority w:val="0"/>
    <w:qFormat/>
    <w:rPr>
      <w:rFonts w:ascii="宋体" w:hAnsi="宋体" w:eastAsia="宋体"/>
      <w:sz w:val="21"/>
      <w:szCs w:val="24"/>
      <w:lang w:val="en-US" w:eastAsia="zh-CN" w:bidi="ar-SA"/>
    </w:rPr>
  </w:style>
  <w:style w:type="character" w:styleId="1084" w:customStyle="1">
    <w:name w:val="Plain Text Char"/>
    <w:link w:val="1085"/>
    <w:uiPriority w:val="0"/>
    <w:qFormat/>
    <w:rPr>
      <w:rFonts w:ascii="宋体" w:hAnsi="Courier New" w:eastAsia="楷体_GB2312"/>
      <w:sz w:val="26"/>
    </w:rPr>
  </w:style>
  <w:style w:type="paragraph" w:styleId="1085" w:customStyle="1">
    <w:name w:val="纯文本5"/>
    <w:basedOn w:val="968"/>
    <w:link w:val="1084"/>
    <w:uiPriority w:val="0"/>
    <w:qFormat/>
    <w:rPr>
      <w:rFonts w:ascii="宋体" w:hAnsi="Courier New" w:eastAsia="楷体_GB2312"/>
      <w:sz w:val="26"/>
      <w:szCs w:val="20"/>
    </w:rPr>
  </w:style>
  <w:style w:type="character" w:styleId="1086" w:customStyle="1">
    <w:name w:val="Andy_3级 Char"/>
    <w:link w:val="1087"/>
    <w:uiPriority w:val="0"/>
    <w:qFormat/>
    <w:rPr>
      <w:rFonts w:ascii="Calibri" w:hAnsi="Calibri"/>
      <w:sz w:val="24"/>
    </w:rPr>
  </w:style>
  <w:style w:type="paragraph" w:styleId="1087" w:customStyle="1">
    <w:name w:val="Andy_3级"/>
    <w:basedOn w:val="968"/>
    <w:link w:val="1086"/>
    <w:uiPriority w:val="0"/>
    <w:qFormat/>
    <w:pPr>
      <w:numPr>
        <w:ilvl w:val="2"/>
        <w:numId w:val="2"/>
      </w:numPr>
      <w:spacing w:line="360" w:lineRule="auto"/>
    </w:pPr>
    <w:rPr>
      <w:sz w:val="24"/>
      <w:szCs w:val="20"/>
    </w:rPr>
  </w:style>
  <w:style w:type="character" w:styleId="1088" w:customStyle="1">
    <w:name w:val="_正文段落 Char"/>
    <w:link w:val="1089"/>
    <w:uiPriority w:val="0"/>
    <w:qFormat/>
    <w:rPr>
      <w:sz w:val="24"/>
      <w:szCs w:val="24"/>
    </w:rPr>
  </w:style>
  <w:style w:type="paragraph" w:styleId="1089" w:customStyle="1">
    <w:name w:val="_正文段落"/>
    <w:basedOn w:val="968"/>
    <w:link w:val="1088"/>
    <w:uiPriority w:val="0"/>
    <w:qFormat/>
    <w:pPr>
      <w:ind w:firstLine="200"/>
      <w:spacing w:before="50" w:after="50" w:line="360" w:lineRule="auto"/>
    </w:pPr>
    <w:rPr>
      <w:sz w:val="24"/>
    </w:rPr>
  </w:style>
  <w:style w:type="character" w:styleId="1090" w:customStyle="1">
    <w:name w:val="正 文 1 Char"/>
    <w:uiPriority w:val="0"/>
    <w:qFormat/>
    <w:rPr>
      <w:rFonts w:ascii="宋体" w:hAnsi="Courier New" w:eastAsia="楷体_GB2312"/>
      <w:sz w:val="28"/>
      <w:lang w:val="en-US" w:eastAsia="zh-CN" w:bidi="ar-SA"/>
    </w:rPr>
  </w:style>
  <w:style w:type="character" w:styleId="1091" w:customStyle="1">
    <w:name w:val="Char Char7"/>
    <w:uiPriority w:val="0"/>
    <w:qFormat/>
    <w:rPr>
      <w:b/>
      <w:bCs/>
      <w:sz w:val="32"/>
      <w:szCs w:val="32"/>
    </w:rPr>
  </w:style>
  <w:style w:type="character" w:styleId="1092" w:customStyle="1">
    <w:name w:val="标题 1 字符"/>
    <w:uiPriority w:val="9"/>
    <w:qFormat/>
    <w:rPr>
      <w:rFonts w:eastAsia="楷体_GB2312"/>
      <w:b/>
      <w:sz w:val="44"/>
    </w:rPr>
  </w:style>
  <w:style w:type="character" w:styleId="1093" w:customStyle="1">
    <w:name w:val="正文首行缩进 Char Char"/>
    <w:link w:val="1094"/>
    <w:uiPriority w:val="0"/>
    <w:qFormat/>
    <w:rPr>
      <w:szCs w:val="24"/>
    </w:rPr>
  </w:style>
  <w:style w:type="paragraph" w:styleId="1094" w:customStyle="1">
    <w:name w:val="正文首行缩进1"/>
    <w:basedOn w:val="985"/>
    <w:link w:val="1093"/>
    <w:uiPriority w:val="0"/>
    <w:qFormat/>
    <w:pPr>
      <w:ind w:firstLine="420"/>
      <w:spacing w:after="120"/>
      <w:tabs>
        <w:tab w:val="clear" w:pos="5250" w:leader="none"/>
      </w:tabs>
    </w:pPr>
    <w:rPr>
      <w:sz w:val="20"/>
    </w:rPr>
  </w:style>
  <w:style w:type="character" w:styleId="1095" w:customStyle="1">
    <w:name w:val="Plain Text Char Char"/>
    <w:uiPriority w:val="0"/>
    <w:qFormat/>
    <w:rPr>
      <w:rFonts w:ascii="宋体" w:hAnsi="Courier New" w:eastAsia="楷体_GB2312"/>
      <w:sz w:val="28"/>
    </w:rPr>
  </w:style>
  <w:style w:type="character" w:styleId="1096" w:customStyle="1">
    <w:name w:val="Char Char6"/>
    <w:uiPriority w:val="0"/>
    <w:qFormat/>
    <w:rPr>
      <w:rFonts w:ascii="Arial" w:hAnsi="Arial" w:eastAsia="黑体"/>
      <w:b/>
      <w:bCs/>
      <w:sz w:val="28"/>
      <w:szCs w:val="28"/>
      <w:lang w:val="en-US" w:eastAsia="zh-CN" w:bidi="ar-SA"/>
    </w:rPr>
  </w:style>
  <w:style w:type="character" w:styleId="1097" w:customStyle="1">
    <w:name w:val="Andy_正文 Char"/>
    <w:link w:val="1098"/>
    <w:uiPriority w:val="0"/>
    <w:qFormat/>
    <w:rPr>
      <w:rFonts w:ascii="Calibri" w:hAnsi="Calibri"/>
      <w:sz w:val="24"/>
      <w:szCs w:val="24"/>
    </w:rPr>
  </w:style>
  <w:style w:type="paragraph" w:styleId="1098" w:customStyle="1">
    <w:name w:val="Andy_正文"/>
    <w:basedOn w:val="968"/>
    <w:link w:val="1097"/>
    <w:uiPriority w:val="0"/>
    <w:qFormat/>
    <w:pPr>
      <w:ind w:firstLine="480"/>
      <w:spacing w:line="360" w:lineRule="auto"/>
    </w:pPr>
    <w:rPr>
      <w:sz w:val="24"/>
    </w:rPr>
  </w:style>
  <w:style w:type="character" w:styleId="1099" w:customStyle="1">
    <w:name w:val="正文缩进 Char1"/>
    <w:uiPriority w:val="0"/>
    <w:qFormat/>
    <w:rPr>
      <w:rFonts w:ascii="Times New Roman" w:hAnsi="Times New Roman" w:eastAsia="楷体_GB2312" w:cs="Times New Roman"/>
      <w:sz w:val="24"/>
      <w:szCs w:val="20"/>
    </w:rPr>
  </w:style>
  <w:style w:type="paragraph" w:styleId="1100" w:customStyle="1">
    <w:name w:val="xl65"/>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xl64"/>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2" w:customStyle="1">
    <w:name w:val="Char Char Char"/>
    <w:basedOn w:val="968"/>
    <w:uiPriority w:val="0"/>
    <w:qFormat/>
    <w:rPr>
      <w:rFonts w:ascii="Tahoma" w:hAnsi="Tahoma"/>
      <w:sz w:val="24"/>
      <w:szCs w:val="20"/>
    </w:rPr>
  </w:style>
  <w:style w:type="paragraph" w:styleId="1103" w:customStyle="1">
    <w:name w:val="xl53"/>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4" w:customStyle="1">
    <w:name w:val="表格正文 居中"/>
    <w:basedOn w:val="968"/>
    <w:uiPriority w:val="0"/>
    <w:qFormat/>
    <w:pPr>
      <w:jc w:val="center"/>
    </w:pPr>
    <w:rPr>
      <w:rFonts w:ascii="宋体" w:hAnsi="宋体" w:cs="宋体"/>
      <w:szCs w:val="20"/>
    </w:rPr>
  </w:style>
  <w:style w:type="paragraph" w:styleId="1105" w:customStyle="1">
    <w:name w:val="xl56"/>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6" w:customStyle="1">
    <w:name w:val="p17"/>
    <w:basedOn w:val="968"/>
    <w:uiPriority w:val="0"/>
    <w:qFormat/>
    <w:pPr>
      <w:ind w:firstLine="420"/>
    </w:pPr>
    <w:rPr>
      <w:rFonts w:ascii="Times New Roman" w:hAnsi="Times New Roman" w:cs="黑体"/>
      <w:b/>
      <w:bCs/>
      <w:sz w:val="28"/>
      <w:szCs w:val="28"/>
    </w:rPr>
  </w:style>
  <w:style w:type="paragraph" w:styleId="1107" w:customStyle="1">
    <w:name w:val="小四 段落 宋体 Char Char Char Char Char Char"/>
    <w:basedOn w:val="1108"/>
    <w:uiPriority w:val="0"/>
    <w:qFormat/>
    <w:pPr>
      <w:ind w:firstLine="480"/>
    </w:pPr>
    <w:rPr>
      <w:rFonts w:ascii="宋体" w:hAnsi="宋体"/>
    </w:rPr>
  </w:style>
  <w:style w:type="paragraph" w:styleId="1108" w:customStyle="1">
    <w:name w:val="小四 段落 宋体 Char Char Char Char Char Char Char"/>
    <w:basedOn w:val="987"/>
    <w:uiPriority w:val="0"/>
    <w:semiHidden/>
    <w:qFormat/>
    <w:pPr>
      <w:ind w:left="0" w:right="-33" w:firstLine="545"/>
      <w:jc w:val="left"/>
      <w:spacing w:line="360" w:lineRule="auto"/>
      <w:tabs>
        <w:tab w:val="clear" w:pos="1125" w:leader="none"/>
      </w:tabs>
    </w:pPr>
    <w:rPr>
      <w:sz w:val="24"/>
    </w:rPr>
  </w:style>
  <w:style w:type="paragraph" w:styleId="1109" w:customStyle="1">
    <w:name w:val="xl51"/>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0" w:customStyle="1">
    <w:name w:val="Char Char4 Char"/>
    <w:basedOn w:val="968"/>
    <w:uiPriority w:val="0"/>
    <w:qFormat/>
    <w:rPr>
      <w:rFonts w:ascii="Tahoma" w:hAnsi="Tahoma"/>
      <w:sz w:val="24"/>
      <w:szCs w:val="20"/>
    </w:rPr>
  </w:style>
  <w:style w:type="paragraph" w:styleId="1111" w:customStyle="1">
    <w:name w:val="Default Paragraph Font Para Char"/>
    <w:basedOn w:val="968"/>
    <w:uiPriority w:val="0"/>
    <w:semiHidden/>
    <w:qFormat/>
    <w:pPr>
      <w:jc w:val="left"/>
      <w:spacing w:after="160" w:line="240" w:lineRule="exact"/>
      <w:widowControl/>
    </w:pPr>
    <w:rPr>
      <w:rFonts w:ascii="Verdana" w:hAnsi="Verdana"/>
      <w:sz w:val="20"/>
      <w:szCs w:val="20"/>
      <w:lang w:eastAsia="en-US"/>
    </w:rPr>
  </w:style>
  <w:style w:type="paragraph" w:styleId="1112" w:customStyle="1">
    <w:name w:val="xl57"/>
    <w:basedOn w:val="9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3" w:customStyle="1">
    <w:name w:val="列出段落1"/>
    <w:basedOn w:val="968"/>
    <w:uiPriority w:val="0"/>
    <w:qFormat/>
    <w:pPr>
      <w:ind w:firstLine="200"/>
      <w:spacing w:line="360" w:lineRule="auto"/>
    </w:pPr>
    <w:rPr>
      <w:sz w:val="22"/>
      <w:szCs w:val="20"/>
    </w:rPr>
  </w:style>
  <w:style w:type="paragraph" w:styleId="1114" w:customStyle="1">
    <w:name w:val="Andy_一级"/>
    <w:basedOn w:val="968"/>
    <w:uiPriority w:val="0"/>
    <w:qFormat/>
    <w:pPr>
      <w:numPr>
        <w:ilvl w:val="0"/>
        <w:numId w:val="2"/>
      </w:numPr>
      <w:ind w:left="420" w:hanging="420"/>
      <w:keepNext/>
      <w:spacing w:line="360" w:lineRule="auto"/>
      <w:tabs>
        <w:tab w:val="left" w:pos="420" w:leader="none"/>
      </w:tabs>
    </w:pPr>
    <w:rPr>
      <w:b/>
      <w:sz w:val="24"/>
      <w:szCs w:val="22"/>
    </w:rPr>
  </w:style>
  <w:style w:type="paragraph" w:styleId="1115" w:customStyle="1">
    <w:name w:val="cardlist-value"/>
    <w:basedOn w:val="968"/>
    <w:uiPriority w:val="0"/>
    <w:qFormat/>
    <w:pPr>
      <w:jc w:val="left"/>
      <w:spacing w:before="100" w:beforeAutospacing="1" w:after="100" w:afterAutospacing="1"/>
      <w:widowControl/>
    </w:pPr>
    <w:rPr>
      <w:rFonts w:ascii="宋体" w:hAnsi="宋体" w:cs="宋体"/>
      <w:sz w:val="24"/>
    </w:rPr>
  </w:style>
  <w:style w:type="paragraph" w:styleId="1116" w:customStyle="1">
    <w:name w:val="Plain Text1"/>
    <w:basedOn w:val="968"/>
    <w:uiPriority w:val="0"/>
    <w:qFormat/>
    <w:rPr>
      <w:rFonts w:ascii="宋体" w:hAnsi="Courier New" w:eastAsia="楷体_GB2312"/>
      <w:sz w:val="26"/>
      <w:szCs w:val="20"/>
    </w:rPr>
  </w:style>
  <w:style w:type="paragraph" w:styleId="1117" w:customStyle="1">
    <w:name w:val="xl45"/>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8" w:customStyle="1">
    <w:name w:val="小四 段落 宋体 Char"/>
    <w:basedOn w:val="987"/>
    <w:uiPriority w:val="0"/>
    <w:qFormat/>
    <w:pPr>
      <w:ind w:left="0" w:right="-33" w:firstLine="480"/>
      <w:jc w:val="left"/>
      <w:spacing w:line="360" w:lineRule="auto"/>
      <w:tabs>
        <w:tab w:val="clear" w:pos="1125" w:leader="none"/>
      </w:tabs>
    </w:pPr>
    <w:rPr>
      <w:sz w:val="24"/>
    </w:rPr>
  </w:style>
  <w:style w:type="paragraph" w:styleId="1119" w:customStyle="1">
    <w:name w:val="表格1"/>
    <w:basedOn w:val="968"/>
    <w:next w:val="968"/>
    <w:uiPriority w:val="0"/>
    <w:qFormat/>
    <w:pPr>
      <w:jc w:val="center"/>
      <w:spacing w:line="288" w:lineRule="auto"/>
    </w:pPr>
    <w:rPr>
      <w:rFonts w:ascii="宋体"/>
      <w:sz w:val="18"/>
      <w:szCs w:val="20"/>
    </w:rPr>
  </w:style>
  <w:style w:type="paragraph" w:styleId="1120" w:customStyle="1">
    <w:name w:val="表格正文"/>
    <w:basedOn w:val="968"/>
    <w:uiPriority w:val="0"/>
    <w:qFormat/>
    <w:pPr>
      <w:jc w:val="left"/>
    </w:pPr>
    <w:rPr>
      <w:rFonts w:ascii="宋体" w:hAnsi="宋体" w:cs="宋体"/>
      <w:color w:val="000000"/>
      <w:sz w:val="22"/>
      <w:szCs w:val="20"/>
    </w:rPr>
  </w:style>
  <w:style w:type="paragraph" w:styleId="1121" w:customStyle="1">
    <w:name w:val="xl61"/>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2" w:customStyle="1">
    <w:name w:val="xl58"/>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xl60"/>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xl54"/>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5" w:customStyle="1">
    <w:name w:val="p0"/>
    <w:basedOn w:val="968"/>
    <w:uiPriority w:val="0"/>
    <w:qFormat/>
    <w:pPr>
      <w:widowControl/>
    </w:pPr>
    <w:rPr>
      <w:sz w:val="26"/>
      <w:szCs w:val="26"/>
    </w:rPr>
  </w:style>
  <w:style w:type="paragraph" w:styleId="1126" w:customStyle="1">
    <w:name w:val="xl50"/>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7" w:customStyle="1">
    <w:name w:val="Char Char Char1"/>
    <w:basedOn w:val="968"/>
    <w:uiPriority w:val="0"/>
    <w:qFormat/>
    <w:rPr>
      <w:rFonts w:ascii="Tahoma" w:hAnsi="Tahoma"/>
      <w:sz w:val="24"/>
      <w:szCs w:val="20"/>
    </w:rPr>
  </w:style>
  <w:style w:type="paragraph" w:styleId="1128" w:customStyle="1">
    <w:name w:val="纯文本3"/>
    <w:basedOn w:val="968"/>
    <w:uiPriority w:val="0"/>
    <w:qFormat/>
    <w:rPr>
      <w:rFonts w:ascii="宋体" w:hAnsi="Courier New" w:eastAsia="楷体_GB2312"/>
      <w:sz w:val="26"/>
      <w:szCs w:val="20"/>
    </w:rPr>
  </w:style>
  <w:style w:type="paragraph" w:styleId="1129" w:customStyle="1">
    <w:name w:val="Andy_4级"/>
    <w:basedOn w:val="968"/>
    <w:uiPriority w:val="0"/>
    <w:qFormat/>
    <w:pPr>
      <w:numPr>
        <w:ilvl w:val="3"/>
        <w:numId w:val="2"/>
      </w:numPr>
      <w:ind w:left="420" w:firstLine="510"/>
      <w:spacing w:line="360" w:lineRule="auto"/>
      <w:tabs>
        <w:tab w:val="left" w:pos="420" w:leader="none"/>
      </w:tabs>
    </w:pPr>
    <w:rPr>
      <w:sz w:val="24"/>
      <w:szCs w:val="20"/>
    </w:rPr>
  </w:style>
  <w:style w:type="paragraph" w:styleId="1130" w:customStyle="1">
    <w:name w:val="xl62"/>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1" w:customStyle="1">
    <w:name w:val="font6"/>
    <w:basedOn w:val="968"/>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32" w:customStyle="1">
    <w:name w:val="QB正文"/>
    <w:basedOn w:val="968"/>
    <w:uiPriority w:val="0"/>
    <w:qFormat/>
    <w:pPr>
      <w:ind w:firstLine="200"/>
      <w:widowControl/>
    </w:pPr>
    <w:rPr>
      <w:rFonts w:ascii="宋体" w:hAnsi="宋体"/>
      <w:szCs w:val="20"/>
    </w:rPr>
  </w:style>
  <w:style w:type="paragraph" w:styleId="1133" w:customStyle="1">
    <w:name w:val="列表内容"/>
    <w:basedOn w:val="968"/>
    <w:next w:val="968"/>
    <w:uiPriority w:val="0"/>
    <w:qFormat/>
    <w:pPr>
      <w:numPr>
        <w:ilvl w:val="0"/>
        <w:numId w:val="3"/>
      </w:numPr>
      <w:jc w:val="left"/>
      <w:widowControl/>
    </w:pPr>
    <w:rPr>
      <w:sz w:val="18"/>
    </w:rPr>
  </w:style>
  <w:style w:type="paragraph" w:styleId="1134" w:customStyle="1">
    <w:name w:val="font5"/>
    <w:basedOn w:val="968"/>
    <w:uiPriority w:val="0"/>
    <w:qFormat/>
    <w:pPr>
      <w:jc w:val="left"/>
      <w:spacing w:before="100" w:beforeAutospacing="1" w:after="100" w:afterAutospacing="1"/>
      <w:widowControl/>
    </w:pPr>
    <w:rPr>
      <w:rFonts w:hint="eastAsia" w:ascii="宋体" w:hAnsi="宋体"/>
      <w:sz w:val="18"/>
      <w:szCs w:val="18"/>
    </w:rPr>
  </w:style>
  <w:style w:type="paragraph" w:styleId="1135" w:customStyle="1">
    <w:name w:val="xl46"/>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xl66"/>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_Style 18"/>
    <w:basedOn w:val="968"/>
    <w:uiPriority w:val="0"/>
    <w:qFormat/>
    <w:rPr>
      <w:rFonts w:ascii="Tahoma" w:hAnsi="Tahoma"/>
      <w:sz w:val="24"/>
      <w:szCs w:val="20"/>
    </w:rPr>
  </w:style>
  <w:style w:type="paragraph" w:styleId="1138" w:customStyle="1">
    <w:name w:val="段"/>
    <w:next w:val="1139"/>
    <w:uiPriority w:val="0"/>
    <w:qFormat/>
    <w:pPr>
      <w:jc w:val="both"/>
      <w:spacing w:line="360" w:lineRule="auto"/>
    </w:pPr>
    <w:rPr>
      <w:rFonts w:ascii="宋体" w:hAnsi="宋体" w:eastAsia="宋体" w:cs="Times New Roman"/>
      <w:sz w:val="24"/>
      <w:szCs w:val="22"/>
      <w:lang w:val="en-US" w:eastAsia="zh-CN" w:bidi="ar-SA"/>
    </w:rPr>
  </w:style>
  <w:style w:type="paragraph" w:styleId="1139" w:customStyle="1">
    <w:name w:val="正文 A"/>
    <w:next w:val="1138"/>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40" w:customStyle="1">
    <w:name w:val="规范正文"/>
    <w:basedOn w:val="968"/>
    <w:uiPriority w:val="0"/>
    <w:qFormat/>
    <w:pPr>
      <w:ind w:left="480"/>
      <w:spacing w:line="360" w:lineRule="auto"/>
    </w:pPr>
    <w:rPr>
      <w:sz w:val="24"/>
      <w:szCs w:val="20"/>
    </w:rPr>
  </w:style>
  <w:style w:type="paragraph" w:styleId="1141" w:customStyle="1">
    <w:name w:val="正文1"/>
    <w:basedOn w:val="968"/>
    <w:uiPriority w:val="0"/>
    <w:qFormat/>
    <w:pPr>
      <w:contextualSpacing/>
      <w:ind w:firstLine="200"/>
      <w:jc w:val="left"/>
      <w:spacing w:before="120" w:after="120"/>
      <w:widowControl/>
    </w:pPr>
    <w:rPr>
      <w:rFonts w:eastAsia="Adobe 仿宋 Std R"/>
      <w:sz w:val="24"/>
      <w:szCs w:val="21"/>
    </w:rPr>
  </w:style>
  <w:style w:type="paragraph" w:styleId="1142" w:customStyle="1">
    <w:name w:val="纯文本2"/>
    <w:basedOn w:val="968"/>
    <w:uiPriority w:val="0"/>
    <w:qFormat/>
    <w:rPr>
      <w:rFonts w:ascii="宋体" w:hAnsi="Courier New" w:eastAsia="楷体_GB2312"/>
      <w:sz w:val="26"/>
      <w:szCs w:val="20"/>
    </w:rPr>
  </w:style>
  <w:style w:type="paragraph" w:styleId="1143" w:customStyle="1">
    <w:name w:val="xl55"/>
    <w:basedOn w:val="96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Char Char Char Char Char Char Char Char Char1 Char"/>
    <w:basedOn w:val="990"/>
    <w:uiPriority w:val="0"/>
    <w:qFormat/>
    <w:pPr>
      <w:spacing w:line="360" w:lineRule="auto"/>
    </w:pPr>
  </w:style>
  <w:style w:type="paragraph" w:styleId="1145" w:customStyle="1">
    <w:name w:val="Char Char Char Char Char Char Char Char"/>
    <w:basedOn w:val="968"/>
    <w:uiPriority w:val="0"/>
    <w:qFormat/>
  </w:style>
  <w:style w:type="paragraph" w:styleId="1146" w:customStyle="1">
    <w:name w:val="xl59"/>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Char"/>
    <w:basedOn w:val="968"/>
    <w:uiPriority w:val="0"/>
    <w:qFormat/>
    <w:pPr>
      <w:numPr>
        <w:ilvl w:val="0"/>
        <w:numId w:val="4"/>
      </w:numPr>
      <w:ind w:left="960"/>
      <w:tabs>
        <w:tab w:val="clear" w:pos="420" w:leader="none"/>
        <w:tab w:val="left" w:pos="960" w:leader="none"/>
      </w:tabs>
    </w:pPr>
    <w:rPr>
      <w:sz w:val="24"/>
    </w:rPr>
  </w:style>
  <w:style w:type="paragraph" w:styleId="1148" w:customStyle="1">
    <w:name w:val="默认段落字体 Para Char Char Char Char Char Char Char"/>
    <w:basedOn w:val="968"/>
    <w:uiPriority w:val="0"/>
    <w:qFormat/>
    <w:pPr>
      <w:spacing w:line="360" w:lineRule="auto"/>
    </w:pPr>
    <w:rPr>
      <w:rFonts w:ascii="Tahoma" w:hAnsi="Tahoma"/>
      <w:sz w:val="24"/>
      <w:szCs w:val="20"/>
    </w:rPr>
  </w:style>
  <w:style w:type="paragraph" w:styleId="1149" w:customStyle="1">
    <w:name w:val="Char Char Char1 Char Char Char Char"/>
    <w:basedOn w:val="968"/>
    <w:uiPriority w:val="0"/>
    <w:qFormat/>
    <w:pPr>
      <w:jc w:val="left"/>
      <w:spacing w:after="160" w:line="240" w:lineRule="exact"/>
      <w:widowControl/>
    </w:pPr>
    <w:rPr>
      <w:sz w:val="24"/>
    </w:rPr>
  </w:style>
  <w:style w:type="paragraph" w:styleId="1150" w:customStyle="1">
    <w:name w:val="font7"/>
    <w:basedOn w:val="968"/>
    <w:uiPriority w:val="0"/>
    <w:qFormat/>
    <w:pPr>
      <w:jc w:val="left"/>
      <w:spacing w:before="100" w:beforeAutospacing="1" w:after="100" w:afterAutospacing="1"/>
      <w:widowControl/>
    </w:pPr>
    <w:rPr>
      <w:sz w:val="20"/>
      <w:szCs w:val="20"/>
    </w:rPr>
  </w:style>
  <w:style w:type="paragraph" w:styleId="1151" w:customStyle="1">
    <w:name w:val="xl48"/>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2" w:customStyle="1">
    <w:name w:val="xl63"/>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3" w:customStyle="1">
    <w:name w:val="Char Char1"/>
    <w:basedOn w:val="968"/>
    <w:uiPriority w:val="0"/>
    <w:qFormat/>
    <w:pPr>
      <w:jc w:val="left"/>
      <w:spacing w:after="160" w:line="240" w:lineRule="exact"/>
      <w:widowControl/>
    </w:pPr>
    <w:rPr>
      <w:rFonts w:ascii="Verdana" w:hAnsi="Verdana"/>
      <w:sz w:val="20"/>
      <w:szCs w:val="20"/>
      <w:lang w:eastAsia="en-US"/>
    </w:rPr>
  </w:style>
  <w:style w:type="paragraph" w:styleId="1154" w:customStyle="1">
    <w:name w:val="List Paragraph1"/>
    <w:basedOn w:val="968"/>
    <w:uiPriority w:val="0"/>
    <w:qFormat/>
    <w:pPr>
      <w:ind w:firstLine="420"/>
    </w:pPr>
    <w:rPr>
      <w:szCs w:val="20"/>
    </w:rPr>
  </w:style>
  <w:style w:type="paragraph" w:styleId="1155">
    <w:name w:val="List Paragraph"/>
    <w:basedOn w:val="968"/>
    <w:link w:val="1184"/>
    <w:uiPriority w:val="0"/>
    <w:qFormat/>
    <w:pPr>
      <w:ind w:firstLine="420"/>
    </w:pPr>
    <w:rPr>
      <w:szCs w:val="20"/>
    </w:rPr>
  </w:style>
  <w:style w:type="paragraph" w:styleId="1156" w:customStyle="1">
    <w:name w:val="Char1"/>
    <w:basedOn w:val="968"/>
    <w:uiPriority w:val="0"/>
    <w:qFormat/>
    <w:rPr>
      <w:rFonts w:ascii="Tahoma" w:hAnsi="Tahoma"/>
      <w:sz w:val="24"/>
      <w:szCs w:val="20"/>
    </w:rPr>
  </w:style>
  <w:style w:type="paragraph" w:styleId="1157" w:customStyle="1">
    <w:name w:val="Char Char3 Char Char Char Char Char Char Char Char Char Char Char Char Char Char Char Char"/>
    <w:basedOn w:val="968"/>
    <w:uiPriority w:val="0"/>
    <w:qFormat/>
    <w:pPr>
      <w:ind w:firstLine="200"/>
      <w:jc w:val="left"/>
      <w:spacing w:after="160" w:line="360" w:lineRule="auto"/>
      <w:widowControl/>
    </w:pPr>
    <w:rPr>
      <w:rFonts w:ascii="宋体" w:hAnsi="宋体"/>
      <w:sz w:val="24"/>
      <w:szCs w:val="20"/>
    </w:rPr>
  </w:style>
  <w:style w:type="paragraph" w:styleId="1158" w:customStyle="1">
    <w:name w:val="纯文本1"/>
    <w:basedOn w:val="968"/>
    <w:uiPriority w:val="0"/>
    <w:qFormat/>
    <w:pPr>
      <w:jc w:val="left"/>
      <w:widowControl/>
    </w:pPr>
    <w:rPr>
      <w:rFonts w:ascii="宋体" w:hAnsi="Courier New" w:eastAsia="楷体_GB2312"/>
      <w:sz w:val="26"/>
      <w:szCs w:val="20"/>
    </w:rPr>
  </w:style>
  <w:style w:type="paragraph" w:styleId="1159" w:customStyle="1">
    <w:name w:val="xl49"/>
    <w:basedOn w:val="96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0" w:customStyle="1">
    <w:name w:val="xl52"/>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表格标题"/>
    <w:basedOn w:val="968"/>
    <w:uiPriority w:val="0"/>
    <w:qFormat/>
    <w:pPr>
      <w:jc w:val="center"/>
    </w:pPr>
    <w:rPr>
      <w:rFonts w:ascii="宋体" w:hAnsi="宋体" w:cs="宋体"/>
      <w:b/>
      <w:bCs/>
      <w:szCs w:val="20"/>
    </w:rPr>
  </w:style>
  <w:style w:type="paragraph" w:styleId="1162" w:customStyle="1">
    <w:name w:val="xl47"/>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3" w:customStyle="1">
    <w:name w:val="纯文本4"/>
    <w:basedOn w:val="968"/>
    <w:uiPriority w:val="0"/>
    <w:qFormat/>
    <w:rPr>
      <w:rFonts w:ascii="宋体" w:hAnsi="Courier New" w:eastAsia="楷体_GB2312"/>
      <w:sz w:val="28"/>
      <w:szCs w:val="20"/>
    </w:rPr>
  </w:style>
  <w:style w:type="paragraph" w:styleId="1164" w:customStyle="1">
    <w:name w:val="Char Char4 Char Char"/>
    <w:basedOn w:val="968"/>
    <w:uiPriority w:val="0"/>
    <w:qFormat/>
    <w:rPr>
      <w:rFonts w:ascii="Tahoma" w:hAnsi="Tahoma"/>
      <w:sz w:val="24"/>
      <w:szCs w:val="20"/>
    </w:rPr>
  </w:style>
  <w:style w:type="character" w:styleId="1165" w:customStyle="1">
    <w:name w:val="font41"/>
    <w:basedOn w:val="978"/>
    <w:uiPriority w:val="0"/>
    <w:qFormat/>
    <w:rPr>
      <w:rFonts w:ascii="Arial" w:hAnsi="Arial" w:cs="Arial"/>
      <w:b/>
      <w:bCs/>
      <w:color w:val="000000"/>
      <w:sz w:val="28"/>
      <w:szCs w:val="28"/>
      <w:u w:val="none"/>
    </w:rPr>
  </w:style>
  <w:style w:type="character" w:styleId="1166" w:customStyle="1">
    <w:name w:val="font11"/>
    <w:basedOn w:val="978"/>
    <w:uiPriority w:val="0"/>
    <w:qFormat/>
    <w:rPr>
      <w:rFonts w:hint="eastAsia" w:ascii="宋体" w:hAnsi="宋体" w:eastAsia="宋体" w:cs="宋体"/>
      <w:b/>
      <w:bCs/>
      <w:color w:val="000000"/>
      <w:sz w:val="28"/>
      <w:szCs w:val="28"/>
      <w:u w:val="none"/>
    </w:rPr>
  </w:style>
  <w:style w:type="character" w:styleId="1167" w:customStyle="1">
    <w:name w:val="表格 Char Char"/>
    <w:link w:val="1168"/>
    <w:uiPriority w:val="0"/>
    <w:qFormat/>
    <w:rPr>
      <w:rFonts w:ascii="宋体" w:hAnsi="宋体"/>
    </w:rPr>
  </w:style>
  <w:style w:type="paragraph" w:styleId="1168" w:customStyle="1">
    <w:name w:val="表格"/>
    <w:basedOn w:val="968"/>
    <w:link w:val="1167"/>
    <w:uiPriority w:val="0"/>
    <w:qFormat/>
    <w:rPr>
      <w:rFonts w:ascii="宋体" w:hAnsi="宋体"/>
      <w:sz w:val="20"/>
      <w:szCs w:val="20"/>
    </w:rPr>
  </w:style>
  <w:style w:type="character" w:styleId="1169" w:customStyle="1">
    <w:name w:val="标题三自定义 Char"/>
    <w:link w:val="1170"/>
    <w:uiPriority w:val="99"/>
    <w:qFormat/>
    <w:rPr>
      <w:rFonts w:ascii="Calibri" w:hAnsi="Calibri"/>
      <w:sz w:val="21"/>
      <w:szCs w:val="22"/>
    </w:rPr>
  </w:style>
  <w:style w:type="paragraph" w:styleId="1170" w:customStyle="1">
    <w:name w:val="标题三自定义"/>
    <w:basedOn w:val="968"/>
    <w:link w:val="1169"/>
    <w:uiPriority w:val="99"/>
    <w:qFormat/>
    <w:pPr>
      <w:ind w:left="5670" w:hanging="709"/>
      <w:tabs>
        <w:tab w:val="left" w:pos="5812" w:leader="none"/>
      </w:tabs>
    </w:pPr>
    <w:rPr>
      <w:szCs w:val="22"/>
    </w:rPr>
  </w:style>
  <w:style w:type="character" w:styleId="1171" w:customStyle="1">
    <w:name w:val="页脚 字符"/>
    <w:link w:val="1004"/>
    <w:uiPriority w:val="99"/>
    <w:qFormat/>
    <w:rPr>
      <w:rFonts w:ascii="Calibri" w:hAnsi="Calibri"/>
      <w:sz w:val="18"/>
      <w:szCs w:val="18"/>
    </w:rPr>
  </w:style>
  <w:style w:type="character" w:styleId="1172" w:customStyle="1">
    <w:name w:val="普通文字1 Char"/>
    <w:uiPriority w:val="0"/>
    <w:qFormat/>
    <w:rPr>
      <w:rFonts w:ascii="宋体" w:hAnsi="Courier New" w:eastAsia="宋体"/>
      <w:sz w:val="21"/>
      <w:szCs w:val="21"/>
      <w:lang w:val="en-US" w:eastAsia="zh-CN" w:bidi="ar-SA"/>
    </w:rPr>
  </w:style>
  <w:style w:type="character" w:styleId="1173" w:customStyle="1">
    <w:name w:val="Table Text Char1"/>
    <w:link w:val="1174"/>
    <w:uiPriority w:val="0"/>
    <w:qFormat/>
    <w:rPr>
      <w:rFonts w:ascii="Arial" w:hAnsi="Arial"/>
      <w:sz w:val="18"/>
      <w:szCs w:val="24"/>
    </w:rPr>
  </w:style>
  <w:style w:type="paragraph" w:styleId="1174" w:customStyle="1">
    <w:name w:val="Table Text"/>
    <w:basedOn w:val="968"/>
    <w:link w:val="1173"/>
    <w:uiPriority w:val="0"/>
    <w:qFormat/>
    <w:pPr>
      <w:spacing w:before="80" w:after="80"/>
      <w:widowControl/>
      <w:tabs>
        <w:tab w:val="decimal" w:pos="0" w:leader="none"/>
      </w:tabs>
    </w:pPr>
    <w:rPr>
      <w:rFonts w:ascii="Arial" w:hAnsi="Arial"/>
      <w:sz w:val="18"/>
    </w:rPr>
  </w:style>
  <w:style w:type="character" w:styleId="1175" w:customStyle="1">
    <w:name w:val="style591"/>
    <w:uiPriority w:val="0"/>
    <w:qFormat/>
    <w:rPr>
      <w:rFonts w:hint="default" w:ascii="Arial" w:hAnsi="Arial" w:cs="Arial"/>
      <w:sz w:val="21"/>
      <w:szCs w:val="21"/>
      <w:u w:val="none"/>
    </w:rPr>
  </w:style>
  <w:style w:type="character" w:styleId="1176" w:customStyle="1">
    <w:name w:val="标题二自定义 Char"/>
    <w:link w:val="1177"/>
    <w:uiPriority w:val="99"/>
    <w:qFormat/>
    <w:rPr>
      <w:rFonts w:ascii="宋体" w:hAnsi="宋体"/>
      <w:bCs/>
      <w:sz w:val="21"/>
      <w:szCs w:val="21"/>
    </w:rPr>
  </w:style>
  <w:style w:type="paragraph" w:styleId="1177" w:customStyle="1">
    <w:name w:val="标题二自定义"/>
    <w:basedOn w:val="970"/>
    <w:next w:val="968"/>
    <w:link w:val="1176"/>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78" w:customStyle="1">
    <w:name w:val="批注主题 字符"/>
    <w:link w:val="981"/>
    <w:uiPriority w:val="99"/>
    <w:qFormat/>
    <w:rPr>
      <w:rFonts w:ascii="Calibri" w:hAnsi="Calibri"/>
      <w:b/>
      <w:bCs/>
      <w:sz w:val="21"/>
      <w:szCs w:val="24"/>
    </w:rPr>
  </w:style>
  <w:style w:type="character" w:styleId="1179" w:customStyle="1">
    <w:name w:val="标题 3 字符"/>
    <w:link w:val="971"/>
    <w:uiPriority w:val="9"/>
    <w:qFormat/>
    <w:rPr>
      <w:rFonts w:ascii="Calibri" w:hAnsi="Calibri"/>
      <w:b/>
      <w:bCs/>
      <w:sz w:val="32"/>
      <w:szCs w:val="32"/>
    </w:rPr>
  </w:style>
  <w:style w:type="character" w:styleId="1180" w:customStyle="1">
    <w:name w:val="p141"/>
    <w:uiPriority w:val="0"/>
    <w:qFormat/>
    <w:rPr>
      <w:color w:val="000000"/>
      <w:sz w:val="28"/>
      <w:szCs w:val="28"/>
      <w:u w:val="none"/>
    </w:rPr>
  </w:style>
  <w:style w:type="character" w:styleId="1181" w:customStyle="1">
    <w:name w:val="lh151"/>
    <w:uiPriority w:val="0"/>
    <w:qFormat/>
    <w:rPr>
      <w:color w:val="666666"/>
    </w:rPr>
  </w:style>
  <w:style w:type="character" w:styleId="1182" w:customStyle="1">
    <w:name w:val="页眉 字符"/>
    <w:link w:val="1006"/>
    <w:uiPriority w:val="99"/>
    <w:qFormat/>
    <w:rPr>
      <w:rFonts w:ascii="Calibri" w:hAnsi="Calibri"/>
      <w:sz w:val="18"/>
      <w:szCs w:val="18"/>
    </w:rPr>
  </w:style>
  <w:style w:type="character" w:styleId="1183" w:customStyle="1">
    <w:name w:val="批注框文本 字符"/>
    <w:link w:val="1003"/>
    <w:uiPriority w:val="99"/>
    <w:qFormat/>
    <w:rPr>
      <w:rFonts w:ascii="Calibri" w:hAnsi="Calibri"/>
      <w:sz w:val="18"/>
      <w:szCs w:val="18"/>
    </w:rPr>
  </w:style>
  <w:style w:type="character" w:styleId="1184" w:customStyle="1">
    <w:name w:val="列表段落 字符"/>
    <w:link w:val="1155"/>
    <w:uiPriority w:val="0"/>
    <w:qFormat/>
    <w:rPr>
      <w:rFonts w:ascii="Calibri" w:hAnsi="Calibri"/>
      <w:sz w:val="21"/>
    </w:rPr>
  </w:style>
  <w:style w:type="character" w:styleId="1185" w:customStyle="1">
    <w:name w:val="my正文 Char"/>
    <w:link w:val="1186"/>
    <w:uiPriority w:val="0"/>
    <w:qFormat/>
    <w:rPr>
      <w:sz w:val="24"/>
    </w:rPr>
  </w:style>
  <w:style w:type="paragraph" w:styleId="1186" w:customStyle="1">
    <w:name w:val="my正文"/>
    <w:basedOn w:val="968"/>
    <w:link w:val="1185"/>
    <w:uiPriority w:val="0"/>
    <w:qFormat/>
    <w:pPr>
      <w:ind w:firstLine="480"/>
      <w:spacing w:line="360" w:lineRule="auto"/>
    </w:pPr>
    <w:rPr>
      <w:rFonts w:ascii="Times New Roman" w:hAnsi="Times New Roman"/>
      <w:sz w:val="24"/>
      <w:szCs w:val="20"/>
    </w:rPr>
  </w:style>
  <w:style w:type="character" w:styleId="1187" w:customStyle="1">
    <w:name w:val="已访问的超链接1"/>
    <w:uiPriority w:val="99"/>
    <w:qFormat/>
    <w:rPr>
      <w:color w:val="999999"/>
      <w:u w:val="none"/>
    </w:rPr>
  </w:style>
  <w:style w:type="character" w:styleId="1188" w:customStyle="1">
    <w:name w:val="font31"/>
    <w:uiPriority w:val="0"/>
    <w:qFormat/>
    <w:rPr>
      <w:rFonts w:hint="default" w:ascii="Times New Roman" w:hAnsi="Times New Roman" w:cs="Times New Roman"/>
      <w:color w:val="000000"/>
      <w:sz w:val="21"/>
      <w:szCs w:val="21"/>
      <w:u w:val="none"/>
    </w:rPr>
  </w:style>
  <w:style w:type="character" w:styleId="1189" w:customStyle="1">
    <w:name w:val="font21"/>
    <w:uiPriority w:val="0"/>
    <w:qFormat/>
    <w:rPr>
      <w:rFonts w:hint="eastAsia" w:ascii="宋体" w:hAnsi="宋体" w:eastAsia="宋体" w:cs="宋体"/>
      <w:b/>
      <w:color w:val="000000"/>
      <w:sz w:val="21"/>
      <w:szCs w:val="21"/>
      <w:u w:val="none"/>
    </w:rPr>
  </w:style>
  <w:style w:type="character" w:styleId="1190" w:customStyle="1">
    <w:name w:val="Normal Indent Char"/>
    <w:uiPriority w:val="0"/>
    <w:qFormat/>
    <w:rPr>
      <w:rFonts w:ascii="Times New Roman" w:hAnsi="Times New Roman" w:eastAsia="楷体_GB2312" w:cs="Times New Roman"/>
      <w:sz w:val="20"/>
      <w:szCs w:val="20"/>
    </w:rPr>
  </w:style>
  <w:style w:type="paragraph" w:styleId="1191" w:customStyle="1">
    <w:name w:val="xl531"/>
    <w:basedOn w:val="9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2" w:customStyle="1">
    <w:name w:val="a"/>
    <w:basedOn w:val="968"/>
    <w:uiPriority w:val="0"/>
    <w:qFormat/>
    <w:pPr>
      <w:jc w:val="left"/>
      <w:spacing w:before="100" w:beforeAutospacing="1" w:after="100" w:afterAutospacing="1"/>
      <w:widowControl/>
    </w:pPr>
    <w:rPr>
      <w:rFonts w:ascii="宋体" w:hAnsi="宋体" w:cs="宋体"/>
    </w:rPr>
  </w:style>
  <w:style w:type="paragraph" w:styleId="1193" w:customStyle="1">
    <w:name w:val="xl68"/>
    <w:basedOn w:val="9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4" w:customStyle="1">
    <w:name w:val="正文2"/>
    <w:basedOn w:val="968"/>
    <w:uiPriority w:val="0"/>
    <w:qFormat/>
    <w:pPr>
      <w:ind w:firstLine="200"/>
      <w:jc w:val="left"/>
      <w:spacing w:after="160" w:line="360" w:lineRule="auto"/>
      <w:widowControl/>
    </w:pPr>
    <w:rPr>
      <w:rFonts w:ascii="Verdana" w:hAnsi="Verdana" w:eastAsia="黑体"/>
      <w:szCs w:val="20"/>
      <w:lang w:eastAsia="en-US"/>
    </w:rPr>
  </w:style>
  <w:style w:type="paragraph" w:styleId="1195" w:customStyle="1">
    <w:name w:val="xl510"/>
    <w:basedOn w:val="968"/>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96" w:customStyle="1">
    <w:name w:val="xl516"/>
    <w:basedOn w:val="96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97" w:customStyle="1">
    <w:name w:val="afont"/>
    <w:basedOn w:val="968"/>
    <w:uiPriority w:val="0"/>
    <w:qFormat/>
    <w:pPr>
      <w:jc w:val="left"/>
      <w:spacing w:before="100" w:after="100" w:line="285" w:lineRule="atLeast"/>
      <w:widowControl/>
    </w:pPr>
    <w:rPr>
      <w:rFonts w:ascii="宋体" w:hAnsi="宋体"/>
      <w:sz w:val="18"/>
      <w:szCs w:val="20"/>
    </w:rPr>
  </w:style>
  <w:style w:type="paragraph" w:styleId="1198" w:customStyle="1">
    <w:name w:val="xl513"/>
    <w:basedOn w:val="968"/>
    <w:uiPriority w:val="0"/>
    <w:qFormat/>
    <w:pPr>
      <w:jc w:val="left"/>
      <w:spacing w:before="100" w:beforeAutospacing="1" w:after="100" w:afterAutospacing="1"/>
      <w:shd w:val="clear" w:color="000000" w:fill="ffffff"/>
      <w:widowControl/>
    </w:pPr>
    <w:rPr>
      <w:rFonts w:ascii="宋体" w:hAnsi="宋体" w:cs="宋体"/>
    </w:rPr>
  </w:style>
  <w:style w:type="paragraph" w:styleId="1199" w:customStyle="1">
    <w:name w:val="xl70"/>
    <w:basedOn w:val="9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00" w:customStyle="1">
    <w:name w:val="xl69"/>
    <w:basedOn w:val="9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1" w:customStyle="1">
    <w:name w:val="xl517"/>
    <w:basedOn w:val="96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2" w:customStyle="1">
    <w:name w:val="财政-标题一"/>
    <w:basedOn w:val="968"/>
    <w:uiPriority w:val="0"/>
    <w:qFormat/>
    <w:pPr>
      <w:outlineLvl w:val="0"/>
    </w:pPr>
    <w:rPr>
      <w:rFonts w:eastAsia="华文中宋"/>
      <w:b/>
      <w:sz w:val="44"/>
      <w:szCs w:val="21"/>
    </w:rPr>
  </w:style>
  <w:style w:type="paragraph" w:styleId="1203" w:customStyle="1">
    <w:name w:val="1"/>
    <w:basedOn w:val="968"/>
    <w:uiPriority w:val="0"/>
    <w:qFormat/>
    <w:pPr>
      <w:ind w:left="432" w:hanging="432"/>
      <w:tabs>
        <w:tab w:val="left" w:pos="432" w:leader="none"/>
        <w:tab w:val="left" w:pos="1545" w:leader="none"/>
      </w:tabs>
    </w:pPr>
    <w:rPr>
      <w:rFonts w:ascii="宋体" w:hAnsi="宋体"/>
    </w:rPr>
  </w:style>
  <w:style w:type="paragraph" w:styleId="1204" w:customStyle="1">
    <w:name w:val="表格表头"/>
    <w:basedOn w:val="968"/>
    <w:uiPriority w:val="0"/>
    <w:qFormat/>
    <w:pPr>
      <w:jc w:val="center"/>
      <w:spacing w:line="360" w:lineRule="auto"/>
      <w:outlineLvl w:val="0"/>
    </w:pPr>
    <w:rPr>
      <w:rFonts w:ascii="宋体" w:hAnsi="宋体" w:eastAsia="黑体" w:cs="宋体"/>
      <w:szCs w:val="21"/>
    </w:rPr>
  </w:style>
  <w:style w:type="paragraph" w:styleId="1205" w:customStyle="1">
    <w:name w:val="表格文字"/>
    <w:basedOn w:val="1206"/>
    <w:uiPriority w:val="0"/>
    <w:qFormat/>
    <w:rPr>
      <w:rFonts w:ascii="Times New Roman" w:hAnsi="Times New Roman"/>
    </w:rPr>
  </w:style>
  <w:style w:type="paragraph" w:styleId="1206" w:customStyle="1">
    <w:name w:val="表格文字（两侧对齐）"/>
    <w:basedOn w:val="968"/>
    <w:uiPriority w:val="0"/>
    <w:qFormat/>
    <w:pPr>
      <w:jc w:val="left"/>
    </w:pPr>
    <w:rPr>
      <w:sz w:val="20"/>
    </w:rPr>
  </w:style>
  <w:style w:type="paragraph" w:styleId="1207" w:customStyle="1">
    <w:name w:val="xl539"/>
    <w:basedOn w:val="9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8" w:customStyle="1">
    <w:name w:val="xl73"/>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09" w:customStyle="1">
    <w:name w:val="标题五自定义"/>
    <w:basedOn w:val="968"/>
    <w:uiPriority w:val="0"/>
    <w:qFormat/>
    <w:pPr>
      <w:ind w:left="1985" w:hanging="992"/>
      <w:tabs>
        <w:tab w:val="left" w:pos="1985" w:leader="none"/>
      </w:tabs>
    </w:pPr>
    <w:rPr>
      <w:szCs w:val="22"/>
    </w:rPr>
  </w:style>
  <w:style w:type="paragraph" w:styleId="1210" w:customStyle="1">
    <w:name w:val="xl67"/>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1" w:customStyle="1">
    <w:name w:val="xl532"/>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2" w:customStyle="1">
    <w:name w:val="财政-标题三"/>
    <w:basedOn w:val="1213"/>
    <w:uiPriority w:val="0"/>
    <w:qFormat/>
    <w:pPr>
      <w:outlineLvl w:val="2"/>
    </w:pPr>
    <w:rPr>
      <w:sz w:val="32"/>
    </w:rPr>
  </w:style>
  <w:style w:type="paragraph" w:styleId="1213" w:customStyle="1">
    <w:name w:val="财政-标题二"/>
    <w:basedOn w:val="1202"/>
    <w:uiPriority w:val="0"/>
    <w:qFormat/>
    <w:pPr>
      <w:outlineLvl w:val="1"/>
    </w:pPr>
    <w:rPr>
      <w:sz w:val="36"/>
    </w:rPr>
  </w:style>
  <w:style w:type="paragraph" w:styleId="1214" w:customStyle="1">
    <w:name w:val="Char1 Char Char Char"/>
    <w:basedOn w:val="968"/>
    <w:uiPriority w:val="0"/>
    <w:qFormat/>
    <w:pPr>
      <w:ind w:left="840" w:hanging="420"/>
      <w:tabs>
        <w:tab w:val="left" w:pos="840" w:leader="none"/>
      </w:tabs>
    </w:pPr>
    <w:rPr>
      <w:rFonts w:ascii="Times New Roman" w:hAnsi="Times New Roman"/>
    </w:rPr>
  </w:style>
  <w:style w:type="paragraph" w:styleId="1215" w:customStyle="1">
    <w:name w:val="xl534"/>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6" w:customStyle="1">
    <w:name w:val="正文段"/>
    <w:basedOn w:val="968"/>
    <w:uiPriority w:val="0"/>
    <w:qFormat/>
    <w:pPr>
      <w:ind w:firstLine="454"/>
      <w:spacing w:after="240" w:line="240" w:lineRule="atLeast"/>
      <w:widowControl/>
    </w:pPr>
    <w:rPr>
      <w:rFonts w:ascii="宋体" w:hAnsi="Times New Roman"/>
      <w:szCs w:val="20"/>
    </w:rPr>
  </w:style>
  <w:style w:type="paragraph" w:styleId="1217" w:customStyle="1">
    <w:name w:val="_Style 72"/>
    <w:next w:val="968"/>
    <w:uiPriority w:val="99"/>
    <w:qFormat/>
    <w:pPr>
      <w:jc w:val="both"/>
      <w:widowControl w:val="off"/>
    </w:pPr>
    <w:rPr>
      <w:rFonts w:ascii="宋体" w:hAnsi="宋体" w:eastAsia="宋体" w:cs="Times New Roman"/>
      <w:sz w:val="24"/>
      <w:szCs w:val="24"/>
      <w:lang w:val="en-US" w:eastAsia="zh-CN" w:bidi="ar-SA"/>
    </w:rPr>
  </w:style>
  <w:style w:type="paragraph" w:styleId="1218" w:customStyle="1">
    <w:name w:val="Normal_541"/>
    <w:next w:val="968"/>
    <w:uiPriority w:val="0"/>
    <w:qFormat/>
    <w:pPr>
      <w:jc w:val="both"/>
      <w:widowControl w:val="off"/>
    </w:pPr>
    <w:rPr>
      <w:rFonts w:ascii="Times New Roman" w:hAnsi="Times New Roman" w:eastAsia="宋体" w:cs="Times New Roman"/>
      <w:sz w:val="21"/>
      <w:szCs w:val="21"/>
      <w:lang w:val="en-US" w:eastAsia="zh-CN" w:bidi="ar-SA"/>
    </w:rPr>
  </w:style>
  <w:style w:type="paragraph" w:styleId="1219" w:customStyle="1">
    <w:name w:val="xl522"/>
    <w:basedOn w:val="9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0" w:customStyle="1">
    <w:name w:val="xl541"/>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1" w:customStyle="1">
    <w:name w:val="xl537"/>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2" w:customStyle="1">
    <w:name w:val="xl512"/>
    <w:basedOn w:val="968"/>
    <w:uiPriority w:val="0"/>
    <w:qFormat/>
    <w:pPr>
      <w:jc w:val="center"/>
      <w:spacing w:before="100" w:beforeAutospacing="1" w:after="100" w:afterAutospacing="1"/>
      <w:widowControl/>
    </w:pPr>
    <w:rPr>
      <w:rFonts w:ascii="宋体" w:hAnsi="宋体" w:cs="宋体"/>
      <w:color w:val="000000"/>
    </w:rPr>
  </w:style>
  <w:style w:type="paragraph" w:styleId="1223" w:customStyle="1">
    <w:name w:val="xl71"/>
    <w:basedOn w:val="9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24" w:customStyle="1">
    <w:name w:val="xl509"/>
    <w:basedOn w:val="968"/>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25" w:customStyle="1">
    <w:name w:val="xl528"/>
    <w:basedOn w:val="9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29"/>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7" w:customStyle="1">
    <w:name w:val="xl523"/>
    <w:basedOn w:val="9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8" w:customStyle="1">
    <w:name w:val="标题一自定义"/>
    <w:basedOn w:val="969"/>
    <w:next w:val="968"/>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29" w:customStyle="1">
    <w:name w:val="TOC 标题1"/>
    <w:basedOn w:val="969"/>
    <w:next w:val="968"/>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30" w:customStyle="1">
    <w:name w:val="xl538"/>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1" w:customStyle="1">
    <w:name w:val="xl527"/>
    <w:basedOn w:val="968"/>
    <w:uiPriority w:val="0"/>
    <w:qFormat/>
    <w:pPr>
      <w:spacing w:before="100" w:beforeAutospacing="1" w:after="100" w:afterAutospacing="1"/>
      <w:widowControl/>
    </w:pPr>
    <w:rPr>
      <w:rFonts w:ascii="宋体" w:hAnsi="宋体" w:cs="宋体"/>
      <w:color w:val="ff0000"/>
    </w:rPr>
  </w:style>
  <w:style w:type="paragraph" w:styleId="1232" w:customStyle="1">
    <w:name w:val="Plain Text*"/>
    <w:basedOn w:val="968"/>
    <w:uiPriority w:val="6"/>
    <w:qFormat/>
    <w:pPr>
      <w:jc w:val="left"/>
      <w:widowControl/>
    </w:pPr>
    <w:rPr>
      <w:rFonts w:ascii="宋体" w:hAnsi="宋体" w:eastAsia="楷体_GB2312" w:cs="Courier New"/>
      <w:sz w:val="26"/>
      <w:szCs w:val="20"/>
      <w:lang w:val="zh-CN"/>
    </w:rPr>
  </w:style>
  <w:style w:type="paragraph" w:styleId="1233" w:customStyle="1">
    <w:name w:val="xl511"/>
    <w:basedOn w:val="968"/>
    <w:uiPriority w:val="0"/>
    <w:qFormat/>
    <w:pPr>
      <w:jc w:val="center"/>
      <w:spacing w:before="100" w:beforeAutospacing="1" w:after="100" w:afterAutospacing="1"/>
      <w:widowControl/>
    </w:pPr>
    <w:rPr>
      <w:rFonts w:ascii="宋体" w:hAnsi="宋体" w:cs="宋体"/>
      <w:color w:val="ff0000"/>
    </w:rPr>
  </w:style>
  <w:style w:type="paragraph" w:styleId="1234" w:customStyle="1">
    <w:name w:val="列出段落3"/>
    <w:basedOn w:val="968"/>
    <w:uiPriority w:val="0"/>
    <w:qFormat/>
    <w:pPr>
      <w:ind w:firstLine="420"/>
    </w:pPr>
    <w:rPr>
      <w:rFonts w:ascii="Times New Roman" w:hAnsi="Times New Roman" w:eastAsia="文鼎CS仿宋体"/>
      <w:spacing w:val="-4"/>
      <w:sz w:val="32"/>
    </w:rPr>
  </w:style>
  <w:style w:type="paragraph" w:styleId="1235" w:customStyle="1">
    <w:name w:val="列出段落2"/>
    <w:basedOn w:val="968"/>
    <w:uiPriority w:val="0"/>
    <w:qFormat/>
    <w:pPr>
      <w:ind w:firstLine="420"/>
    </w:pPr>
    <w:rPr>
      <w:rFonts w:ascii="宋体" w:hAnsi="宋体"/>
    </w:rPr>
  </w:style>
  <w:style w:type="paragraph" w:styleId="1236" w:customStyle="1">
    <w:name w:val="Table Paragraph"/>
    <w:basedOn w:val="968"/>
    <w:uiPriority w:val="1"/>
    <w:qFormat/>
    <w:rPr>
      <w:rFonts w:ascii="宋体" w:hAnsi="宋体"/>
    </w:rPr>
  </w:style>
  <w:style w:type="paragraph" w:styleId="1237" w:customStyle="1">
    <w:name w:val="xl519"/>
    <w:basedOn w:val="9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8" w:customStyle="1">
    <w:name w:val="xl524"/>
    <w:basedOn w:val="9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9" w:customStyle="1">
    <w:name w:val="标题四自定义"/>
    <w:basedOn w:val="968"/>
    <w:uiPriority w:val="99"/>
    <w:qFormat/>
    <w:pPr>
      <w:ind w:left="738" w:hanging="738"/>
      <w:tabs>
        <w:tab w:val="left" w:pos="1134" w:leader="none"/>
      </w:tabs>
    </w:pPr>
    <w:rPr>
      <w:szCs w:val="22"/>
    </w:rPr>
  </w:style>
  <w:style w:type="paragraph" w:styleId="1240" w:customStyle="1">
    <w:name w:val="font8"/>
    <w:basedOn w:val="968"/>
    <w:uiPriority w:val="0"/>
    <w:qFormat/>
    <w:pPr>
      <w:jc w:val="left"/>
      <w:spacing w:before="100" w:beforeAutospacing="1" w:after="100" w:afterAutospacing="1"/>
      <w:widowControl/>
    </w:pPr>
    <w:rPr>
      <w:rFonts w:ascii="宋体" w:hAnsi="宋体" w:cs="宋体"/>
      <w:sz w:val="18"/>
      <w:szCs w:val="18"/>
    </w:rPr>
  </w:style>
  <w:style w:type="paragraph" w:styleId="1241" w:customStyle="1">
    <w:name w:val="Item Step"/>
    <w:basedOn w:val="968"/>
    <w:uiPriority w:val="0"/>
    <w:qFormat/>
    <w:pPr>
      <w:ind w:left="1701" w:hanging="567"/>
      <w:jc w:val="left"/>
      <w:widowControl/>
      <w:tabs>
        <w:tab w:val="left" w:pos="1440" w:leader="none"/>
      </w:tabs>
    </w:pPr>
    <w:rPr>
      <w:rFonts w:ascii="Times New Roman" w:hAnsi="Times New Roman"/>
    </w:rPr>
  </w:style>
  <w:style w:type="paragraph" w:styleId="1242" w:customStyle="1">
    <w:name w:val="大标题"/>
    <w:basedOn w:val="968"/>
    <w:uiPriority w:val="0"/>
    <w:qFormat/>
    <w:pPr>
      <w:jc w:val="center"/>
    </w:pPr>
    <w:rPr>
      <w:rFonts w:ascii="Times New Roman" w:hAnsi="Times New Roman" w:eastAsia="黑体" w:cs="宋体"/>
      <w:sz w:val="44"/>
      <w:szCs w:val="20"/>
    </w:rPr>
  </w:style>
  <w:style w:type="paragraph" w:styleId="1243" w:customStyle="1">
    <w:name w:val="xl75"/>
    <w:basedOn w:val="968"/>
    <w:uiPriority w:val="0"/>
    <w:qFormat/>
    <w:pPr>
      <w:jc w:val="center"/>
      <w:spacing w:before="100" w:beforeAutospacing="1" w:after="100" w:afterAutospacing="1"/>
      <w:widowControl/>
    </w:pPr>
    <w:rPr>
      <w:rFonts w:ascii="Times New Roman" w:hAnsi="Times New Roman"/>
      <w:szCs w:val="21"/>
    </w:rPr>
  </w:style>
  <w:style w:type="paragraph" w:styleId="1244" w:customStyle="1">
    <w:name w:val="投标文件正文"/>
    <w:basedOn w:val="968"/>
    <w:uiPriority w:val="0"/>
    <w:qFormat/>
    <w:pPr>
      <w:ind w:firstLine="560"/>
      <w:spacing w:line="440" w:lineRule="exact"/>
    </w:pPr>
    <w:rPr>
      <w:rFonts w:ascii="仿宋_GB2312" w:hAnsi="Times New Roman" w:eastAsia="仿宋_GB2312"/>
      <w:bCs/>
      <w:sz w:val="28"/>
      <w:szCs w:val="28"/>
    </w:rPr>
  </w:style>
  <w:style w:type="paragraph" w:styleId="1245" w:customStyle="1">
    <w:name w:val="样式1"/>
    <w:basedOn w:val="969"/>
    <w:uiPriority w:val="0"/>
    <w:qFormat/>
    <w:pPr>
      <w:jc w:val="center"/>
      <w:spacing w:before="120" w:after="120" w:line="480" w:lineRule="auto"/>
    </w:pPr>
    <w:rPr>
      <w:rFonts w:ascii="Times New Roman" w:hAnsi="Times New Roman" w:eastAsia="黑体"/>
      <w:b w:val="0"/>
      <w:iCs/>
      <w:sz w:val="32"/>
      <w:szCs w:val="32"/>
    </w:rPr>
  </w:style>
  <w:style w:type="paragraph" w:styleId="1246" w:customStyle="1">
    <w:name w:val="xl530"/>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7" w:customStyle="1">
    <w:name w:val="财政-标题四"/>
    <w:basedOn w:val="1212"/>
    <w:uiPriority w:val="0"/>
    <w:qFormat/>
    <w:pPr>
      <w:outlineLvl w:val="3"/>
    </w:pPr>
    <w:rPr>
      <w:sz w:val="30"/>
    </w:rPr>
  </w:style>
  <w:style w:type="paragraph" w:styleId="1248" w:customStyle="1">
    <w:name w:val="xl521"/>
    <w:basedOn w:val="9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9" w:customStyle="1">
    <w:name w:val="xl536"/>
    <w:basedOn w:val="9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0" w:customStyle="1">
    <w:name w:val="xl525"/>
    <w:basedOn w:val="96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1" w:customStyle="1">
    <w:name w:val="列出段落4"/>
    <w:basedOn w:val="968"/>
    <w:uiPriority w:val="0"/>
    <w:qFormat/>
    <w:pPr>
      <w:ind w:firstLine="420"/>
      <w:spacing w:line="360" w:lineRule="auto"/>
    </w:pPr>
    <w:rPr>
      <w:rFonts w:ascii="Times New Roman" w:hAnsi="Times New Roman"/>
      <w:szCs w:val="22"/>
    </w:rPr>
  </w:style>
  <w:style w:type="paragraph" w:styleId="1252" w:customStyle="1">
    <w:name w:val="xl74"/>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3" w:customStyle="1">
    <w:name w:val="xl526"/>
    <w:basedOn w:val="9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4"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55" w:customStyle="1">
    <w:name w:val="三级标题3"/>
    <w:basedOn w:val="971"/>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56" w:customStyle="1">
    <w:name w:val="手册正文"/>
    <w:basedOn w:val="968"/>
    <w:uiPriority w:val="0"/>
    <w:qFormat/>
    <w:pPr>
      <w:ind w:firstLine="200"/>
      <w:spacing w:line="500" w:lineRule="exact"/>
    </w:pPr>
    <w:rPr>
      <w:rFonts w:ascii="Arial" w:hAnsi="Arial"/>
      <w:szCs w:val="20"/>
    </w:rPr>
  </w:style>
  <w:style w:type="paragraph" w:styleId="1257" w:customStyle="1">
    <w:name w:val="xl518"/>
    <w:basedOn w:val="968"/>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58" w:customStyle="1">
    <w:name w:val="纯文本11"/>
    <w:basedOn w:val="968"/>
    <w:uiPriority w:val="0"/>
    <w:qFormat/>
    <w:rPr>
      <w:rFonts w:ascii="宋体" w:hAnsi="Courier New" w:eastAsia="楷体_GB2312"/>
      <w:sz w:val="28"/>
      <w:szCs w:val="20"/>
    </w:rPr>
  </w:style>
  <w:style w:type="paragraph" w:styleId="1259" w:customStyle="1">
    <w:name w:val="Bullet"/>
    <w:basedOn w:val="968"/>
    <w:uiPriority w:val="0"/>
    <w:qFormat/>
    <w:pPr>
      <w:ind w:firstLine="420"/>
      <w:spacing w:before="60" w:after="60" w:line="288" w:lineRule="auto"/>
      <w:widowControl/>
    </w:pPr>
    <w:rPr>
      <w:rFonts w:ascii="宋体" w:hAnsi="宋体"/>
      <w:bCs/>
      <w:szCs w:val="21"/>
    </w:rPr>
  </w:style>
  <w:style w:type="paragraph" w:styleId="1260" w:customStyle="1">
    <w:name w:val="xl535"/>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1" w:customStyle="1">
    <w:name w:val="zhengwen3"/>
    <w:basedOn w:val="1194"/>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62" w:customStyle="1">
    <w:name w:val="xl514"/>
    <w:basedOn w:val="968"/>
    <w:uiPriority w:val="0"/>
    <w:qFormat/>
    <w:pPr>
      <w:jc w:val="left"/>
      <w:spacing w:before="100" w:beforeAutospacing="1" w:after="100" w:afterAutospacing="1"/>
      <w:shd w:val="clear" w:color="000000" w:fill="ffffff"/>
      <w:widowControl/>
    </w:pPr>
    <w:rPr>
      <w:rFonts w:ascii="宋体" w:hAnsi="宋体" w:cs="宋体"/>
    </w:rPr>
  </w:style>
  <w:style w:type="paragraph" w:styleId="1263" w:customStyle="1">
    <w:name w:val="xl72"/>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64" w:customStyle="1">
    <w:name w:val="xl520"/>
    <w:basedOn w:val="9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5">
    <w:name w:val="No Spacing"/>
    <w:basedOn w:val="968"/>
    <w:uiPriority w:val="1"/>
    <w:qFormat/>
    <w:pPr>
      <w:jc w:val="left"/>
      <w:widowControl/>
    </w:pPr>
    <w:rPr>
      <w:sz w:val="24"/>
      <w:szCs w:val="32"/>
      <w:lang w:eastAsia="en-US" w:bidi="en-US"/>
    </w:rPr>
  </w:style>
  <w:style w:type="paragraph" w:styleId="1266" w:customStyle="1">
    <w:name w:val="Javis"/>
    <w:basedOn w:val="968"/>
    <w:uiPriority w:val="0"/>
    <w:qFormat/>
    <w:pPr>
      <w:ind w:left="15" w:right="15" w:firstLine="480"/>
      <w:spacing w:line="360" w:lineRule="auto"/>
    </w:pPr>
    <w:rPr>
      <w:rFonts w:ascii="Times New Roman" w:hAnsi="Times New Roman" w:cs="宋体"/>
      <w:szCs w:val="20"/>
    </w:rPr>
  </w:style>
  <w:style w:type="paragraph" w:styleId="1267" w:customStyle="1">
    <w:name w:val="样式 正文文本缩进 2 + Times New Roman 首行缩进:  1.06 厘米 行距: 固定值 30 磅"/>
    <w:basedOn w:val="1002"/>
    <w:uiPriority w:val="0"/>
    <w:qFormat/>
    <w:pPr>
      <w:ind w:left="0" w:firstLine="601"/>
      <w:spacing w:line="540" w:lineRule="exact"/>
      <w:tabs>
        <w:tab w:val="clear" w:pos="630" w:leader="none"/>
      </w:tabs>
    </w:pPr>
    <w:rPr>
      <w:rFonts w:ascii="Times New Roman" w:hAnsi="Times New Roman"/>
      <w:sz w:val="28"/>
      <w:szCs w:val="28"/>
    </w:rPr>
  </w:style>
  <w:style w:type="paragraph" w:styleId="1268" w:customStyle="1">
    <w:name w:val="xl515"/>
    <w:basedOn w:val="96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69" w:customStyle="1">
    <w:name w:val="列出段落111"/>
    <w:basedOn w:val="968"/>
    <w:uiPriority w:val="0"/>
    <w:qFormat/>
    <w:pPr>
      <w:ind w:firstLine="420"/>
    </w:pPr>
    <w:rPr>
      <w:szCs w:val="20"/>
    </w:rPr>
  </w:style>
  <w:style w:type="paragraph" w:styleId="1270" w:customStyle="1">
    <w:name w:val="xl540"/>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71" w:customStyle="1">
    <w:name w:val="p25"/>
    <w:basedOn w:val="968"/>
    <w:uiPriority w:val="0"/>
    <w:qFormat/>
    <w:pPr>
      <w:jc w:val="left"/>
      <w:widowControl/>
    </w:pPr>
    <w:rPr>
      <w:rFonts w:ascii="黑体" w:hAnsi="黑体" w:eastAsia="黑体" w:cs="黑体"/>
      <w:sz w:val="26"/>
      <w:szCs w:val="26"/>
    </w:rPr>
  </w:style>
  <w:style w:type="paragraph" w:styleId="1272" w:customStyle="1">
    <w:name w:val="xl533"/>
    <w:basedOn w:val="9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3" w:customStyle="1">
    <w:name w:val="修订1"/>
    <w:hidden/>
    <w:uiPriority w:val="99"/>
    <w:unhideWhenUsed/>
    <w:qFormat/>
    <w:rPr>
      <w:rFonts w:ascii="Calibri" w:hAnsi="Calibri" w:eastAsia="宋体" w:cs="Times New Roman"/>
      <w:sz w:val="21"/>
      <w:szCs w:val="24"/>
      <w:lang w:val="en-US" w:eastAsia="zh-CN" w:bidi="ar-SA"/>
    </w:rPr>
  </w:style>
  <w:style w:type="paragraph" w:styleId="1274" w:customStyle="1">
    <w:name w:val="Revision"/>
    <w:hidden/>
    <w:uiPriority w:val="99"/>
    <w:unhideWhenUsed/>
    <w:qFormat/>
    <w:rPr>
      <w:rFonts w:ascii="Calibri" w:hAnsi="Calibri" w:eastAsia="宋体" w:cs="Times New Roman"/>
      <w:sz w:val="21"/>
      <w:szCs w:val="24"/>
      <w:lang w:val="en-US" w:eastAsia="zh-CN" w:bidi="ar-SA"/>
    </w:rPr>
  </w:style>
  <w:style w:type="numbering" w:styleId="12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9</cp:revision>
  <dcterms:created xsi:type="dcterms:W3CDTF">2024-09-20T08:39:00Z</dcterms:created>
  <dcterms:modified xsi:type="dcterms:W3CDTF">2025-12-02T08:53:43Z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91EB8398B914479D87CC9D370B6B83AB_13</vt:lpwstr>
  </property>
  <property fmtid="{D5CDD505-2E9C-101B-9397-08002B2CF9AE}" pid="4" name="KSOTemplateDocerSaveRecord">
    <vt:lpwstr>eyJoZGlkIjoiZTlhOGM2ODc1ZDllYzEyNzk4OTJiNzQyMGUyNmE4MDAiLCJ1c2VySWQiOiIzNTcyMDE4MTQifQ==</vt:lpwstr>
  </property>
</Properties>
</file>